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Registration and Store Setup — Final Audit</w:t>
      </w:r>
    </w:p>
    <w:p>
      <w:pPr>
        <w:jc w:val="left"/>
      </w:pPr>
      <w:r>
        <w:rPr>
          <w:i/>
          <w:color w:val="506473"/>
        </w:rPr>
        <w:t>Business Registration and Store Setup · 2026-10-01 · branch StagingPOS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Field</w:t>
            </w:r>
          </w:p>
        </w:tc>
        <w:tc>
          <w:tcPr>
            <w:tcW w:type="dxa" w:w="5040"/>
            <w:vAlign w:val="center"/>
            <w:shd w:fill="D9EAF7"/>
          </w:tcPr>
          <w:p>
            <w:r/>
            <w:r>
              <w:rPr>
                <w:b/>
                <w:sz w:val="18"/>
              </w:rPr>
              <w:t>Value</w:t>
            </w:r>
          </w:p>
        </w:tc>
      </w:tr>
      <w:tr>
        <w:tc>
          <w:tcPr>
            <w:tcW w:type="dxa" w:w="5040"/>
            <w:vAlign w:val="center"/>
          </w:tcPr>
          <w:p>
            <w:r/>
            <w:r>
              <w:rPr>
                <w:b w:val="0"/>
                <w:sz w:val="18"/>
              </w:rPr>
              <w:t>Execution status</w:t>
            </w:r>
          </w:p>
        </w:tc>
        <w:tc>
          <w:tcPr>
            <w:tcW w:type="dxa" w:w="5040"/>
            <w:vAlign w:val="center"/>
          </w:tcPr>
          <w:p>
            <w:r/>
            <w:r>
              <w:rPr>
                <w:b w:val="0"/>
                <w:sz w:val="18"/>
              </w:rPr>
              <w:t>PARTIAL / NOT RELEASE-COMPLETE</w:t>
            </w:r>
          </w:p>
        </w:tc>
      </w:tr>
      <w:tr>
        <w:tc>
          <w:tcPr>
            <w:tcW w:type="dxa" w:w="5040"/>
            <w:vAlign w:val="center"/>
          </w:tcPr>
          <w:p>
            <w:r/>
            <w:r>
              <w:rPr>
                <w:b w:val="0"/>
                <w:sz w:val="18"/>
              </w:rPr>
              <w:t>Baseline commit</w:t>
            </w:r>
          </w:p>
        </w:tc>
        <w:tc>
          <w:tcPr>
            <w:tcW w:type="dxa" w:w="5040"/>
            <w:vAlign w:val="center"/>
          </w:tcPr>
          <w:p>
            <w:r/>
            <w:r>
              <w:rPr>
                <w:b w:val="0"/>
                <w:sz w:val="18"/>
              </w:rPr>
              <w:t>9065425cc</w:t>
            </w:r>
          </w:p>
        </w:tc>
      </w:tr>
      <w:tr>
        <w:tc>
          <w:tcPr>
            <w:tcW w:type="dxa" w:w="5040"/>
            <w:vAlign w:val="center"/>
          </w:tcPr>
          <w:p>
            <w:r/>
            <w:r>
              <w:rPr>
                <w:b w:val="0"/>
                <w:sz w:val="18"/>
              </w:rPr>
              <w:t>Worktree</w:t>
            </w:r>
          </w:p>
        </w:tc>
        <w:tc>
          <w:tcPr>
            <w:tcW w:type="dxa" w:w="5040"/>
            <w:vAlign w:val="center"/>
          </w:tcPr>
          <w:p>
            <w:r/>
            <w:r>
              <w:rPr>
                <w:b w:val="0"/>
                <w:sz w:val="18"/>
              </w:rPr>
              <w:t>C:\xampp\htdocs\POS-DGFY\.worktrees\StagingPOS</w:t>
            </w:r>
          </w:p>
        </w:tc>
      </w:tr>
      <w:tr>
        <w:tc>
          <w:tcPr>
            <w:tcW w:type="dxa" w:w="5040"/>
            <w:vAlign w:val="center"/>
          </w:tcPr>
          <w:p>
            <w:r/>
            <w:r>
              <w:rPr>
                <w:b w:val="0"/>
                <w:sz w:val="18"/>
              </w:rPr>
              <w:t>Ownership boundary</w:t>
            </w:r>
          </w:p>
        </w:tc>
        <w:tc>
          <w:tcPr>
            <w:tcW w:type="dxa" w:w="5040"/>
            <w:vAlign w:val="center"/>
          </w:tcPr>
          <w:p>
            <w:r/>
            <w:r>
              <w:rPr>
                <w:b w:val="0"/>
                <w:sz w:val="18"/>
              </w:rPr>
              <w:t>Landlord pre-approval; SKUpervisor Platform Admin review; OPIS/POS approved tenant administration; Storefront public registration</w:t>
            </w:r>
          </w:p>
        </w:tc>
      </w:tr>
    </w:tbl>
    <w:p/>
    <w:p>
      <w:pPr>
        <w:pStyle w:val="Heading2"/>
      </w:pPr>
      <w:r>
        <w:t>Purpose</w:t>
      </w:r>
    </w:p>
    <w:p>
      <w:r>
        <w:t>This final audit consolidates the execution evidence and explicitly separates implemented code from evidence that could not be collected in the current host environment.</w:t>
      </w:r>
    </w:p>
    <w:p>
      <w:pPr>
        <w:pStyle w:val="Heading2"/>
      </w:pPr>
      <w:r>
        <w:t>Audit conclusion</w:t>
      </w:r>
    </w:p>
    <w:p>
      <w:r>
        <w:t>The approved implementation plan is materially implemented across landlord registration contracts, private uploads, legal consent, approval materialization, SKUpervisor Platform Admin review, Storefront registration, and the OPIS Company workspace. The audit cannot declare full release completion because full applicant/admin-download/cashier end-to-end simulations and visual document rendering were not fully available. A local non-mutating platform-admin route/review audit was completed, and no deployment or phase-ledger completion was performed.</w:t>
      </w:r>
    </w:p>
    <w:p>
      <w:pPr>
        <w:pStyle w:val="Heading2"/>
      </w:pPr>
      <w:r>
        <w:t>Control conclusions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Control</w:t>
            </w:r>
          </w:p>
        </w:tc>
        <w:tc>
          <w:tcPr>
            <w:tcW w:type="dxa" w:w="5040"/>
            <w:vAlign w:val="center"/>
            <w:shd w:fill="D9EAF7"/>
          </w:tcPr>
          <w:p>
            <w:r/>
            <w:r>
              <w:rPr>
                <w:b/>
                <w:sz w:val="18"/>
              </w:rPr>
              <w:t>Conclusion</w:t>
            </w:r>
          </w:p>
        </w:tc>
      </w:tr>
      <w:tr>
        <w:tc>
          <w:tcPr>
            <w:tcW w:type="dxa" w:w="5040"/>
            <w:vAlign w:val="center"/>
          </w:tcPr>
          <w:p>
            <w:r/>
            <w:r>
              <w:rPr>
                <w:b w:val="0"/>
                <w:sz w:val="18"/>
              </w:rPr>
              <w:t>Ownership</w:t>
            </w:r>
          </w:p>
        </w:tc>
        <w:tc>
          <w:tcPr>
            <w:tcW w:type="dxa" w:w="5040"/>
            <w:vAlign w:val="center"/>
          </w:tcPr>
          <w:p>
            <w:r>
              <w:t>Pass for route and ownership; full live role evidence pending</w:t>
            </w:r>
          </w:p>
        </w:tc>
      </w:tr>
      <w:tr>
        <w:tc>
          <w:tcPr>
            <w:tcW w:type="dxa" w:w="5040"/>
            <w:vAlign w:val="center"/>
          </w:tcPr>
          <w:p>
            <w:r/>
            <w:r>
              <w:rPr>
                <w:b w:val="0"/>
                <w:sz w:val="18"/>
              </w:rPr>
              <w:t>Legal consent</w:t>
            </w:r>
          </w:p>
        </w:tc>
        <w:tc>
          <w:tcPr>
            <w:tcW w:type="dxa" w:w="5040"/>
            <w:vAlign w:val="center"/>
          </w:tcPr>
          <w:p>
            <w:r/>
            <w:r>
              <w:rPr>
                <w:b w:val="0"/>
                <w:sz w:val="18"/>
              </w:rPr>
              <w:t>Pass: two independent server-validated acknowledgements</w:t>
            </w:r>
          </w:p>
        </w:tc>
      </w:tr>
      <w:tr>
        <w:tc>
          <w:tcPr>
            <w:tcW w:type="dxa" w:w="5040"/>
            <w:vAlign w:val="center"/>
          </w:tcPr>
          <w:p>
            <w:r/>
            <w:r>
              <w:rPr>
                <w:b w:val="0"/>
                <w:sz w:val="18"/>
              </w:rPr>
              <w:t>Pre-approval isolation</w:t>
            </w:r>
          </w:p>
        </w:tc>
        <w:tc>
          <w:tcPr>
            <w:tcW w:type="dxa" w:w="5040"/>
            <w:vAlign w:val="center"/>
          </w:tcPr>
          <w:p>
            <w:r/>
            <w:r>
              <w:rPr>
                <w:b w:val="0"/>
                <w:sz w:val="18"/>
              </w:rPr>
              <w:t>Pass at usecase boundary; no tenant write before approval</w:t>
            </w:r>
          </w:p>
        </w:tc>
      </w:tr>
      <w:tr>
        <w:tc>
          <w:tcPr>
            <w:tcW w:type="dxa" w:w="5040"/>
            <w:vAlign w:val="center"/>
          </w:tcPr>
          <w:p>
            <w:r/>
            <w:r>
              <w:rPr>
                <w:b w:val="0"/>
                <w:sz w:val="18"/>
              </w:rPr>
              <w:t>Upload privacy</w:t>
            </w:r>
          </w:p>
        </w:tc>
        <w:tc>
          <w:tcPr>
            <w:tcW w:type="dxa" w:w="5040"/>
            <w:vAlign w:val="center"/>
          </w:tcPr>
          <w:p>
            <w:r/>
            <w:r>
              <w:rPr>
                <w:b w:val="0"/>
                <w:sz w:val="18"/>
              </w:rPr>
              <w:t>Pass at storage/route design and unit level; live stream test pending</w:t>
            </w:r>
          </w:p>
        </w:tc>
      </w:tr>
      <w:tr>
        <w:tc>
          <w:tcPr>
            <w:tcW w:type="dxa" w:w="5040"/>
            <w:vAlign w:val="center"/>
          </w:tcPr>
          <w:p>
            <w:r/>
            <w:r>
              <w:rPr>
                <w:b w:val="0"/>
                <w:sz w:val="18"/>
              </w:rPr>
              <w:t>Materialization</w:t>
            </w:r>
          </w:p>
        </w:tc>
        <w:tc>
          <w:tcPr>
            <w:tcW w:type="dxa" w:w="5040"/>
            <w:vAlign w:val="center"/>
          </w:tcPr>
          <w:p>
            <w:r/>
            <w:r>
              <w:rPr>
                <w:b w:val="0"/>
                <w:sz w:val="18"/>
              </w:rPr>
              <w:t>Pass: canonical, transactional, retry-safe, no menu auto-publication</w:t>
            </w:r>
          </w:p>
        </w:tc>
      </w:tr>
      <w:tr>
        <w:tc>
          <w:tcPr>
            <w:tcW w:type="dxa" w:w="5040"/>
            <w:vAlign w:val="center"/>
          </w:tcPr>
          <w:p>
            <w:r/>
            <w:r>
              <w:rPr>
                <w:b w:val="0"/>
                <w:sz w:val="18"/>
              </w:rPr>
              <w:t>OPIS navigation</w:t>
            </w:r>
          </w:p>
        </w:tc>
        <w:tc>
          <w:tcPr>
            <w:tcW w:type="dxa" w:w="5040"/>
            <w:vAlign w:val="center"/>
          </w:tcPr>
          <w:p>
            <w:r/>
            <w:r>
              <w:rPr>
                <w:b w:val="0"/>
                <w:sz w:val="18"/>
              </w:rPr>
              <w:t>Pass: one Company item and three aliases</w:t>
            </w:r>
          </w:p>
        </w:tc>
      </w:tr>
      <w:tr>
        <w:tc>
          <w:tcPr>
            <w:tcW w:type="dxa" w:w="5040"/>
            <w:vAlign w:val="center"/>
          </w:tcPr>
          <w:p>
            <w:r/>
            <w:r>
              <w:rPr>
                <w:b w:val="0"/>
                <w:sz w:val="18"/>
              </w:rPr>
              <w:t>Migration safety</w:t>
            </w:r>
          </w:p>
        </w:tc>
        <w:tc>
          <w:tcPr>
            <w:tcW w:type="dxa" w:w="5040"/>
            <w:vAlign w:val="center"/>
          </w:tcPr>
          <w:p>
            <w:r/>
            <w:r>
              <w:rPr>
                <w:b w:val="0"/>
                <w:sz w:val="18"/>
              </w:rPr>
              <w:t>Pass: upgrade, local sku_test migration, and disposable fresh-schema rehearsal</w:t>
            </w:r>
          </w:p>
        </w:tc>
      </w:tr>
      <w:tr>
        <w:tc>
          <w:tcPr>
            <w:tcW w:type="dxa" w:w="5040"/>
            <w:vAlign w:val="center"/>
          </w:tcPr>
          <w:p>
            <w:r/>
            <w:r>
              <w:rPr>
                <w:b w:val="0"/>
                <w:sz w:val="18"/>
              </w:rPr>
              <w:t>Release readiness</w:t>
            </w:r>
          </w:p>
        </w:tc>
        <w:tc>
          <w:tcPr>
            <w:tcW w:type="dxa" w:w="5040"/>
            <w:vAlign w:val="center"/>
          </w:tcPr>
          <w:p>
            <w:r/>
            <w:r>
              <w:rPr>
                <w:b w:val="0"/>
                <w:sz w:val="18"/>
              </w:rPr>
              <w:t>Not complete: authenticated E2E, screenshots, and release authorization remain</w:t>
            </w:r>
          </w:p>
        </w:tc>
      </w:tr>
    </w:tbl>
    <w:p/>
    <w:p>
      <w:pPr>
        <w:pStyle w:val="Heading2"/>
      </w:pPr>
      <w:r>
        <w:t>Required follow-up before release</w:t>
      </w:r>
    </w:p>
    <w:p>
      <w:pPr>
        <w:pStyle w:val="ListNumber"/>
      </w:pPr>
      <w:r>
        <w:t>Run authenticated applicant, platform-admin, authorized manager, and cashier browser scenarios against the local stack with disposable fixtures.</w:t>
      </w:r>
    </w:p>
    <w:p>
      <w:pPr>
        <w:pStyle w:val="ListNumber"/>
      </w:pPr>
      <w:r>
        <w:t>Capture screenshots and request/response evidence for the three-step registration, SKUpervisor Platform Admin review/download/revoke, and OPIS Company workspace/aliases.</w:t>
      </w:r>
    </w:p>
    <w:p>
      <w:pPr>
        <w:pStyle w:val="ListNumber"/>
      </w:pPr>
      <w:r>
        <w:t>Install or enable the approved DOCX renderer, render all ten execution records, inspect every page, and attach visual evidence.</w:t>
      </w:r>
    </w:p>
    <w:p>
      <w:pPr>
        <w:pStyle w:val="ListNumber"/>
      </w:pPr>
      <w:r>
        <w:t>Re-run the final audit against the captured evidence, then obtain separate release authorization before any PR, merge, or deployment workflow.</w:t>
      </w:r>
    </w:p>
    <w:p>
      <w:pPr>
        <w:pStyle w:val="Heading2"/>
      </w:pPr>
      <w:r>
        <w:t>Preservation and scope statement</w:t>
      </w:r>
    </w:p>
    <w:p>
      <w:pPr>
        <w:pStyle w:val="ListBullet"/>
      </w:pPr>
      <w:r>
        <w:t>The nine original BRS planning DOCX files remain preserved.</w:t>
      </w:r>
    </w:p>
    <w:p>
      <w:pPr>
        <w:pStyle w:val="ListBullet"/>
      </w:pPr>
      <w:r>
        <w:t>The new execution records and manifest are additive evidence artifacts.</w:t>
      </w:r>
    </w:p>
    <w:p>
      <w:pPr>
        <w:pStyle w:val="ListBullet"/>
      </w:pPr>
      <w:r>
        <w:t>No PR, merge, deployment, or phase-ledger completion claim is included.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BRS execution evidence · Final_Audit.docx · No PR, merge, deployment, or phase completion claimed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E5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Registration and Store Setup — Final Audit</dc:title>
  <dc:subject>BRS execution evidence</dc:subject>
  <dc:creator>Codex</dc:creator>
  <cp:keywords/>
  <dc:description>Generated as an execution record; original plan DOCX files are preserved.</dc:description>
  <cp:lastModifiedBy/>
  <cp:revision>1</cp:revision>
  <dcterms:created xsi:type="dcterms:W3CDTF">2013-12-23T23:15:00Z</dcterms:created>
  <dcterms:modified xsi:type="dcterms:W3CDTF">2013-12-23T23:15:00Z</dcterms:modified>
  <cp:category/>
</cp:coreProperties>
</file>