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i w:val="0"/>
          <w:color w:val="0F2D4E"/>
          <w:sz w:val="44"/>
        </w:rPr>
        <w:t>POS Delivery Provider Payment Breakdown</w:t>
      </w:r>
    </w:p>
    <w:p>
      <w:pPr>
        <w:spacing w:after="80"/>
      </w:pPr>
      <w:r>
        <w:rPr>
          <w:rFonts w:ascii="Aptos" w:hAnsi="Aptos"/>
          <w:b/>
          <w:i w:val="0"/>
          <w:color w:val="1A5B7E"/>
          <w:sz w:val="24"/>
        </w:rPr>
        <w:t>Section 02  |  Requirements and Business Rules</w:t>
      </w:r>
    </w:p>
    <w:p>
      <w:r>
        <w:rPr>
          <w:rFonts w:ascii="Aptos" w:hAnsi="Aptos"/>
          <w:b w:val="0"/>
          <w:i/>
          <w:color w:val="475569"/>
          <w:sz w:val="21"/>
        </w:rPr>
        <w:t>Defines the testable product, data, UI, reporting, security, audit, and non-functional requirements that the implementation must satisfy.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Project Name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POS Delivery Provider Payment Breakdown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Plan Version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v1.0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Section Number / Title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02 / Requirements and Business Rules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Baseline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StagingPOS @ 8b879d4b5 (2026-10-02)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Repository / Worktree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C:\xampp\htdocs\POS-DGFY\.worktrees\StagingPOS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Dependencies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Sections 00-01; current checkout and report contracts; D-001/D-002 decision gates.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  <w:sz w:val="21"/>
        </w:rPr>
        <w:t>Defines the testable product, data, UI, reporting, security, audit, and non-functional requirements that the implementation must satisfy.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POS F&amp;B flow already has an order_method value of delivery in packages/web-core/src/features/pos/components/FnbWorkflowPanel.jsx and related hooks.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current checkout dialog's generic Payment Type options are cash, GCash, Maya, Card, Bank Transfer, and Employee Credit; Foodpanda and Grab are not current direct checkout payment types.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backend checkout validator accepts generic payment_type values and does not currently accept a delivery-provider breakdown field.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Completed transactions already persist an immutable generic payment_breakdown snapshot used by receipts and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Z-reading details are saved immutable snapshots and are not reconstructed from mutable live transactions after close.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repository has a route -&gt; controller -&gt; usecase -&gt; repository -&gt; model architecture and architecture guardrails pass at the baseline.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INFERRED: Foodpanda, Grab, and Other are delivery-provider classifications, not replacements for the generic tender method used for settlement and cash/tender reporting.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requirement IDs below are the authoritative plan vocabulary for implementation and verification.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recommended v1 allows a repeatable provider breakdown but caps it to one row per provider type; any broader multi-Other behavior requires a new decision record.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Provider names are operational text entered by an authorized cashier, not verified third-party identities.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All IDs in this section are mandatory unless explicitly marked decision-gated or future.</w:t>
      </w:r>
    </w:p>
    <w:p>
      <w:pPr>
        <w:pStyle w:val="Heading1"/>
      </w:pPr>
      <w:r>
        <w:t>Plan Content</w:t>
      </w:r>
    </w:p>
    <w:p>
      <w:pPr>
        <w:pStyle w:val="Heading2"/>
      </w:pPr>
      <w:r>
        <w:t>Functional 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Verification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FR-001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When order_method is Delivery, expose exactly Foodpanda, Grab, and Other as delivery provider types.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P0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UI + API contract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FR-002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When Other is selected, require a non-empty, trimmed provider name and preserve it in the transaction snapshot.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Validator + UI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FR-003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Support the approved D-001 cardinality. Recommended: one or more provider rows, at most one row per type, each with an amount.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P0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Usecase + integration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FR-004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Reject provider amounts that are non-finite, non-positive, over-precision, or do not conserve to the server-computed transaction total.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API + DB integration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FR-005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Persist the normalized provider breakdown atomically with a completed POS transaction.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P0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DB integration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FR-006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Include the normalized provider breakdown in the checkout idempotency payload/fingerprint.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Replay test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FR-007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Reject or omit provider data for non-delivery orders according to the final API contract; recommended behavior is a 400 validation error.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Negative API test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FR-008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Keep current generic payment_type and payment_breakdown behavior for tender settlement and non-delivery orders.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Regression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FR-009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 clear loading, validation, server-error, refresh, and retry behavior without losing the current cart or unrelated checkout state.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Frontend behavior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FR-010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Make provider breakdown available to report overview, breakdowns, CSV/export, Z-reading summary/detail, browser print, shift close, and iMin printer text.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Cross-surface E2E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FR-011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Preserve provider snapshot data through void/refund/history behavior without changing the original completed transaction's historical classification.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Lifecycle integration</w:t>
            </w:r>
          </w:p>
        </w:tc>
      </w:tr>
    </w:tbl>
    <w:p/>
    <w:p>
      <w:pPr>
        <w:pStyle w:val="Heading2"/>
      </w:pPr>
      <w:r>
        <w:t>Data and persistence 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Verification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DATA-001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 an additive, nullable transaction snapshot field (recommended name: delivery_provider_breakdown) or an equally isolated canonical structure; do not overload generic payment_breakdown.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Migration/model review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DATA-002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Snapshot provider_type, display/provider name, amount, and normalized display label at successful completion.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Persistence test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DATA-003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Old transactions with null/absent provider data remain readable and reportable.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Legacy fixture test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DATA-004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 tenant-schema table or column is dropped; no live data backfill is required.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Migration rehearsal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DATA-005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 rows must be deterministic and stable under idempotent replay.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Replay test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DATA-006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Saved Z-reading snapshots contain the provider breakdown needed for later rendering; closing a day does not recalculate it from mutable configuration.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Z-reading immutability test</w:t>
            </w:r>
          </w:p>
        </w:tc>
      </w:tr>
    </w:tbl>
    <w:p/>
    <w:p>
      <w:pPr>
        <w:pStyle w:val="Heading2"/>
      </w:pPr>
      <w:r>
        <w:t>Business rules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Reason / failure behavior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BR-001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Delivery provider data is valid only when order_method = delivery.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Prevents false delivery classification; API rejects invalid scope.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BR-002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The accepted provider_type enum is exactly foodpanda, grab, other.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Prevents arbitrary provider categories and report drift.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BR-003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provider_type = other requires provider_name after trim; foodpanda and grab use canonical labels.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The cashier must identify an unlisted provider such as Maxim.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BR-004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Each amount is a positive decimal with the system's money precision; provider amounts conserve to the server-calculated transaction total under D-001.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Prevents under/over-reported delivery totals.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BR-005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The server is authoritative for provider enum, names, amounts, total, tenant, location, terminal, shift, discount, and idempotency.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Client values cannot bypass financial or scope checks.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BR-006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Display labels are canonicalized at completion: Foodpanda, Grab, or &lt;provider name&gt; (Other).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Keeps historical output consistent.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BR-007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Changing future provider configuration or labels must not rewrite existing transaction or Z-reading snapshots.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Preserves audit meaning.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BR-008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 breakdown is a classification/allocation view and must not add to transaction count, gross sales, net sales, or tender totals.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Prevents double counting.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BR-009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 rows cannot be used to authorize, capture, or reconcile an external payment; the current generic tender contract remains responsible for settlement type.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Avoids unsupported gateway semantics.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BR-010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If generic split tender is used, provider classification and tender allocation remain separate named structures; each must satisfy its own conservation rule.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Preserves ADR 0063 semantics.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BR-011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Offline checkout remains cash-only; provider data is rejected on offline paths unless a future offline contract is approved.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Current offline capability does not support this external classification safely.</w:t>
            </w:r>
          </w:p>
        </w:tc>
      </w:tr>
    </w:tbl>
    <w:p/>
    <w:p>
      <w:pPr>
        <w:pStyle w:val="Heading2"/>
      </w:pPr>
      <w:r>
        <w:t>UI, reporting, security, audit, and non-functional 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4997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997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UI-001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Show the delivery-provider block only for Delivery and keep existing non-delivery checkout layout/behavior unchanged.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UI-002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 accessible labels, keyboard-operable controls, focus/error announcement, and an explicit required marker for Other name and provider amount.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UI-003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Prevent confirmation while provider data is invalid or incomplete; preserve input on server failure.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UI-004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 the exact labels Foodpanda, Grab, and Other; show Other provider name in the summary.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UI-005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Do not present provider rows as extra payment methods when a separate tender method is still displayed.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REP-001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Reports show a distinct Delivery Provider Breakdown alongside the existing Payment Breakdown.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REP-002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 aggregation groups by canonical provider type and provider name, preserving separate Other providers such as Maxim.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REP-003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CSV/export includes provider information without changing existing column meaning or total rows.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REP-004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Z-reading close response, saved summary, details, browser print, and iMin output use the same snapshot values.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REP-005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Voids and non-recognized transactions follow existing report rules; provider amounts are not shown as recognized sales unless the transaction is recognized.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REP-006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 labels remain visible for historical records even if the current provider configuration changes.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SEC-001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Enforce authenticated tenant, branch/location, paired terminal, active shift, and POS transact permission using existing middleware/usecase boundaries.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SEC-002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Reject object/tenant/location manipulation and do not allow client-supplied totals or provider names to escape validation.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SEC-003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Bound provider-name length, row count, amount precision, and control characters; store display-safe text.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AUD-001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transaction and idempotency audit evidence identifies the delivery provider snapshot as part of the completed sale.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AUD-002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Retries return the original result and do not create a second transaction or a second provider allocation.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NFR-001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 aggregation remains bounded and uses existing transaction/report query scope; no unbounded per-row queries.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NFR-002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Fresh-schema and upgrade migrations are both safe and repeatable.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NFR-003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non-delivery, split tender, close-day, and receipt behavior passes regression checks.</w:t>
            </w:r>
          </w:p>
        </w:tc>
      </w:tr>
    </w:tbl>
    <w:p/>
    <w:p>
      <w:pPr>
        <w:pStyle w:val="Heading1"/>
      </w:pPr>
      <w:r>
        <w:t>Affected System Components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Backend validator/usecase/repository/model and migration runner.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Shared web-core Delivery checkout UI, state, payload builder, report UI, print views, and iMin text formatting.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Existing POS API contract and report/Z-reading response shapes, extended additively.</w:t>
      </w:r>
    </w:p>
    <w:p>
      <w:pPr>
        <w:pStyle w:val="Heading1"/>
      </w:pPr>
      <w:r>
        <w:t>Risks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 requirement that says provider type must be a payment_type conflicts with current ownership of payment_type; BR-001/009 explicitly resolve this conflict.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conservation rule depends on D-001; a product decision must be recorded before implementation.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Adding provider columns to an existing CSV without a compatibility review could break import or consumer assumptions.</w:t>
      </w:r>
    </w:p>
    <w:p>
      <w:pPr>
        <w:pStyle w:val="Heading1"/>
      </w:pPr>
      <w:r>
        <w:t>Tests Required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Create a test-to-requirement matrix before implementation and fail the plan execution if any P0 requirement has no automated verification.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Use GIVEN/WHEN/THEN tests for each business rule, especially amount conservation, non-delivery rejection, replay, and Z-reading immutability.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AC-007: Every P0 requirement has a named backend, frontend, or end-to-end test.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AC-008: The rule set prevents arbitrary provider categories, missing Other names, and amount drift.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AC-009: The rule set explicitly prevents provider/tender conflation and report double counting.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D-001 and D-002 must be resolved in the execution record before Phase 472-A closes.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Any change to ADR 0063's binding split-payment ownership or conservation contract requires architecture review under ADR 0039.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docs/architecture/adr/0063-pos-split-tender-and-manual-payment-recording.md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docs/features/POS_SPLIT_PAYMENT_CONTRACT.md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docs/api/specification.md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apps/dgfy-api/src/validators/posValidator.js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packages/web-core/src/features/pos/__tests__/POSCheckoutConfirmDialog.behavior.test.jsx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4748B"/>
        <w:sz w:val="17"/>
      </w:rPr>
      <w:t xml:space="preserve">POS Delivery Provider Payment Breakdown  •  Section 02  •  Page </w:t>
    </w:r>
    <w:r>
      <w:rPr>
        <w:rFonts w:ascii="Aptos" w:hAnsi="Aptos"/>
        <w:b w:val="0"/>
        <w:i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475569"/>
        <w:sz w:val="17"/>
      </w:rPr>
      <w:t>DGFY POS  | 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1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A5B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D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Delivery Provider Payment Breakdown - Section 02 - Requirements and Business Rules</dc:title>
  <dc:subject>Execution-ready plan for delivery provider payment classification and reporting</dc:subject>
  <dc:creator>Codex</dc:creator>
  <cp:keywords/>
  <dc:description>Plan artifact only. No application code is changed by this document set.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