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i w:val="0"/>
          <w:color w:val="0F2D4E"/>
          <w:sz w:val="44"/>
        </w:rPr>
        <w:t>POS Delivery Provider Payment Breakdown</w:t>
      </w:r>
    </w:p>
    <w:p>
      <w:pPr>
        <w:spacing w:after="80"/>
      </w:pPr>
      <w:r>
        <w:rPr>
          <w:rFonts w:ascii="Aptos" w:hAnsi="Aptos"/>
          <w:b/>
          <w:i w:val="0"/>
          <w:color w:val="1A5B7E"/>
          <w:sz w:val="24"/>
        </w:rPr>
        <w:t>Section 03  |  Target Architecture and Data Model</w:t>
      </w:r>
    </w:p>
    <w:p>
      <w:r>
        <w:rPr>
          <w:rFonts w:ascii="Aptos" w:hAnsi="Aptos"/>
          <w:b w:val="0"/>
          <w:i/>
          <w:color w:val="475569"/>
          <w:sz w:val="21"/>
        </w:rPr>
        <w:t>Defines the recommended API contract, source-of-truth model, target request flow, architecture classification, and migration shape without changing code.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Project Name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POS Delivery Provider Payment Breakdown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Plan Version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v1.0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Section Number / Title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03 / Target Architecture and Data Model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Baseline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StagingPOS @ 8b879d4b5 (2026-10-02)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Repository / Worktree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C:\xampp\htdocs\POS-DGFY\.worktrees\StagingPOS</w:t>
            </w:r>
          </w:p>
        </w:tc>
      </w:tr>
      <w:tr>
        <w:tc>
          <w:tcPr>
            <w:tcW w:type="dxa" w:w="4997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/>
                <w:i w:val="0"/>
                <w:color w:val="0F172A"/>
                <w:sz w:val="19"/>
              </w:rPr>
              <w:t>Dependencies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  <w:vAlign w:val="top"/>
          </w:tcPr>
          <w:p>
            <w:r>
              <w:rPr>
                <w:rFonts w:ascii="Aptos" w:hAnsi="Aptos"/>
                <w:b w:val="0"/>
                <w:i w:val="0"/>
                <w:color w:val="0F172A"/>
                <w:sz w:val="19"/>
              </w:rPr>
              <w:t>Sections 00-02; ADR 0039; ADR 0063; architecture boundary and governance docs.</w:t>
            </w:r>
          </w:p>
        </w:tc>
      </w:tr>
    </w:tbl>
    <w:p/>
    <w:p>
      <w:pPr>
        <w:pStyle w:val="Heading1"/>
      </w:pPr>
      <w:r>
        <w:t>Purpose</w:t>
      </w:r>
    </w:p>
    <w:p>
      <w:r>
        <w:rPr>
          <w:rFonts w:ascii="Aptos" w:hAnsi="Aptos"/>
          <w:b w:val="0"/>
          <w:i w:val="0"/>
          <w:sz w:val="21"/>
        </w:rPr>
        <w:t>Defines the recommended API contract, source-of-truth model, target request flow, architecture classification, and migration shape without changing code.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POS F&amp;B flow already has an order_method value of delivery in packages/web-core/src/features/pos/components/FnbWorkflowPanel.jsx and related hooks.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current checkout dialog's generic Payment Type options are cash, GCash, Maya, Card, Bank Transfer, and Employee Credit; Foodpanda and Grab are not current direct checkout payment types.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backend checkout validator accepts generic payment_type values and does not currently accept a delivery-provider breakdown field.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Completed transactions already persist an immutable generic payment_breakdown snapshot used by receipts and reporting.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Z-reading details are saved immutable snapshots and are not reconstructed from mutable live transactions after close.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The repository has a route -&gt; controller -&gt; usecase -&gt; repository -&gt; model architecture and architecture guardrails pass at the baseline.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INFERRED: Foodpanda, Grab, and Other are delivery-provider classifications, not replacements for the generic tender method used for settlement and cash/tender reporting.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PosTransaction already has a JSON payment_breakdown field and a separate payment_provider field, but current generic report helpers do not preserve the requested Foodpanda/Grab/Other amount classification.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Existing report and Z-reading output is assembled in the POS repository and then rendered by shared POS components.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CONFIRMED: Migrations are owned by apps/dgfy-migration-runner, not the API app.</w:t>
      </w:r>
    </w:p>
    <w:p>
      <w:pPr>
        <w:pStyle w:val="Heading1"/>
      </w:pPr>
      <w:r>
        <w:t>Assumptions and Unknowns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RECOMMENDED DESIGN: Add a separate nullable JSON snapshot field on pos_transactions, tentatively named delivery_provider_breakdown, rather than modifying the meaning of payment_breakdown.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RECOMMENDED CONTRACT: Use an array because the supplied example contains two provider amounts; enforce one row per provider type unless D-002 expands it.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UNKNOWN: Whether report consumers require machine-readable provider columns or only a display string. The plan recommends both a structured response field and backwards-compatible display/export additions.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FR-003 through FR-008; DATA-001 through DATA-006; BR-001, BR-004, BR-007, BR-008, BR-010; NFR-001 through NFR-003.</w:t>
      </w:r>
    </w:p>
    <w:p>
      <w:pPr>
        <w:pStyle w:val="Heading1"/>
      </w:pPr>
      <w:r>
        <w:t>Plan Content</w:t>
      </w:r>
    </w:p>
    <w:p>
      <w:pPr>
        <w:pStyle w:val="Heading2"/>
      </w:pPr>
      <w:r>
        <w:t>Architecture classification</w:t>
      </w:r>
    </w:p>
    <w:p>
      <w:r>
        <w:rPr>
          <w:rFonts w:ascii="Aptos" w:hAnsi="Aptos"/>
          <w:b w:val="0"/>
          <w:i w:val="0"/>
          <w:sz w:val="21"/>
        </w:rPr>
        <w:t>Classify the change as within-existing-boundary. It extends the POS checkout/payment/reporting flow owned by POS under ADR 0029 and follows the existing route -&gt; controller -&gt; usecase -&gt; repository -&gt; model layering. It does not create a new app boundary or change tenant ownership. No new ADR is required if the implementation preserves ADR 0063's split-tender source of truth and does not alter binding ownership rules.</w:t>
      </w:r>
    </w:p>
    <w:p>
      <w:r>
        <w:rPr>
          <w:rFonts w:ascii="Aptos" w:hAnsi="Aptos"/>
          <w:b w:val="0"/>
          <w:i w:val="0"/>
          <w:sz w:val="21"/>
        </w:rPr>
        <w:t>If implementation changes the binding meaning of generic payment_breakdown, payment allocation conservation, or split-tender lifecycle, stop and create the required superseding ADR or tech-lead-approved path under ADR 0039. The recommended design avoids that escalation.</w:t>
      </w:r>
    </w:p>
    <w:p>
      <w:pPr>
        <w:pStyle w:val="Heading2"/>
      </w:pPr>
      <w:r>
        <w:t>Recommended canonical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1F5F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Cascadia Mono" w:hAnsi="Cascadia Mono"/>
                <w:b w:val="0"/>
                <w:i w:val="0"/>
                <w:color w:val="1E293B"/>
                <w:sz w:val="17"/>
              </w:rPr>
              <w:t>delivery_provider_breakdown: [</w:t>
              <w:br/>
              <w:t xml:space="preserve">  {</w:t>
              <w:br/>
              <w:t xml:space="preserve">    provider_type: "foodpanda" | "grab" | "other",</w:t>
              <w:br/>
              <w:t xml:space="preserve">    provider_name: null | string,</w:t>
              <w:br/>
              <w:t xml:space="preserve">    amount: decimal</w:t>
              <w:br/>
              <w:t xml:space="preserve">  }</w:t>
              <w:br/>
              <w:t>]</w:t>
            </w:r>
          </w:p>
        </w:tc>
      </w:tr>
    </w:tbl>
    <w:p/>
    <w:p>
      <w:pPr>
        <w:pStyle w:val="ListBullet"/>
      </w:pPr>
      <w:r>
        <w:rPr>
          <w:rFonts w:ascii="Aptos" w:hAnsi="Aptos"/>
          <w:b w:val="0"/>
          <w:i w:val="0"/>
          <w:sz w:val="20"/>
        </w:rPr>
        <w:t>foodpanda and grab use canonical display names Foodpanda and Grab; provider_name is null or omitted for those rows.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other requires provider_name after trim, such as Maxim; the persisted display label is Maxim (Other) or an equivalent structured label generated centrally.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Amounts use the same money precision and rounding policy as POS totals. The server recalculates the transaction total before validating conservation.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frontend submits this structure as a sibling to payment_type and payment_breakdown, not nested inside the generic tender allocation.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The field is null/empty for non-delivery and legacy transactions. The API should reject a non-empty provider breakdown on non-delivery rather than silently relabeling it.</w:t>
      </w:r>
    </w:p>
    <w:p>
      <w:pPr>
        <w:pStyle w:val="Heading2"/>
      </w:pPr>
      <w:r>
        <w:t>Source-of-truth classification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Entity / value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Source of truth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Derived / snapshot behavior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Order method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Server-validated checkout request and POS transaction order_method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Determines whether provider data is allowed.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Generic tender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payment_type and payment_breakdown / split-payment allocation contract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Unchanged; used for tender and reconciliation.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Delivery provider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Completed POS transaction delivery_provider_breakdown snapshot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Canonical historical provider classification and amount.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Report provider totals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Repository aggregation of completed/recognized transaction snapshots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Derived by report date/location/filter; never written back to transactions.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Saved Z-reading provider totals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Immutable Z-reading snapshot generated at close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Read later without recomputing mutable transactions.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Provider configuration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Existing storefront/tenant settings if later used for choices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Not authoritative for completed history and not required for v1.</w:t>
            </w:r>
          </w:p>
        </w:tc>
      </w:tr>
    </w:tbl>
    <w:p/>
    <w:p>
      <w:pPr>
        <w:pStyle w:val="Heading2"/>
      </w:pPr>
      <w:r>
        <w:t>Target request-to-output flow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POS UI limits provider type choices and collects any required Other name/amounts.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The route validator accepts only the approved additive field and performs shape-level checks.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The controller passes validated data to the usecase and does not import models or calculate money.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The usecase checks authenticated tenant/location/terminal/shift scope, recalculates totals, enforces provider/tender rules, normalizes the snapshot, and adds it to the idempotency fingerprint.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The repository writes the transaction and provider snapshot in the same transaction boundary as existing lines/payment snapshot.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The report repository reads the provider snapshot through one helper used by daily report, breakdowns, export, and Z-reading preparation.</w:t>
      </w:r>
    </w:p>
    <w:p>
      <w:pPr>
        <w:pStyle w:val="ListNumber"/>
      </w:pPr>
      <w:r>
        <w:rPr>
          <w:rFonts w:ascii="Aptos" w:hAnsi="Aptos"/>
          <w:b w:val="0"/>
          <w:i w:val="0"/>
          <w:sz w:val="20"/>
        </w:rPr>
        <w:t>Close-day persists provider totals in the Z-reading snapshot; print/browser/iMin clients format the same response field.</w:t>
      </w:r>
    </w:p>
    <w:p>
      <w:pPr>
        <w:pStyle w:val="Heading2"/>
      </w:pPr>
      <w:r>
        <w:t>Migration shape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3331"/>
            <w:shd w:fill="0F416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Compatibility requirement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1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Add nullable JSON column to tenant-local pos_transactions via migration-runner, if execution confirms no reusable namespaced field exists.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Additive only; old rows remain null.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2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Add optional model attribute and repository select/insert/update handling.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Existing reads/writes work when null.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3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Deploy backward-compatible API/report readers before or with writer.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Readers tolerate old rows and older application instances.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4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Enable UI writer after API is ready.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No client sends a field the server cannot validate.</w:t>
            </w:r>
          </w:p>
        </w:tc>
      </w:tr>
      <w:tr>
        <w:trPr>
          <w:cantSplit/>
        </w:trPr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5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Rehearse fresh-schema and upgrade paths; verify no tenant schema is omitted.</w:t>
            </w:r>
          </w:p>
        </w:tc>
        <w:tc>
          <w:tcPr>
            <w:tcW w:type="dxa" w:w="333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No live tenant used for rehearsal.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6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Do not backfill; verify historical reports show no provider breakdown for legacy rows.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4" w:color="D7E3EC"/>
              <w:left w:val="single" w:sz="4" w:color="D7E3EC"/>
              <w:bottom w:val="single" w:sz="4" w:color="D7E3EC"/>
              <w:right w:val="single" w:sz="4" w:color="D7E3EC"/>
            </w:tcBorders>
          </w:tcPr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olor w:val="1E293B"/>
                <w:sz w:val="18"/>
              </w:rPr>
              <w:t>Preserves historical truth rather than inventing provider data.</w:t>
            </w:r>
          </w:p>
        </w:tc>
      </w:tr>
    </w:tbl>
    <w:p/>
    <w:p>
      <w:pPr>
        <w:pStyle w:val="Heading2"/>
      </w:pPr>
      <w:r>
        <w:t>Rejected alternatives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 not overload payment_type with foodpanda/grab/other: it breaks the existing tender enum and all payment/tender consumers.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 not store provider name only in free-text notes: reports and Z-reading need structured, auditable amounts.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 not create a new external delivery-provider table for v1: there is no current provider account/reconciliation lifecycle requiring one, and it would add a competing source of truth.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 not derive closed Z-reading provider amounts from current settings or live transaction recalculation.</w:t>
      </w:r>
    </w:p>
    <w:p>
      <w:pPr>
        <w:pStyle w:val="Heading1"/>
      </w:pPr>
      <w:r>
        <w:t>Affected System Components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apps/dgfy-api/src/models/PosTransaction.js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apps/dgfy-api/src/modules/pos/utils/ (new shared provider normalization/conservation helper, exact filename selected during implementation)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apps/dgfy-api/src/modules/pos/usecases/posUseCases.js and repositories/posRepository.js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apps/dgfy-migration-runner/migrations/ (new additive migration, exact timestamp allocated at implementation time)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packages/web-core API payload and report/Z-reading response consumers</w:t>
      </w:r>
    </w:p>
    <w:p>
      <w:pPr>
        <w:pStyle w:val="Heading1"/>
      </w:pPr>
      <w:r>
        <w:t>Risks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 JSON field is simple and consistent with existing snapshots but may be less queryable than a normalized table at very high report volume; monitor query plans and keep an extraction path if scale demands it.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Changing response shapes can break report/export clients; extend fields additively and preserve current generic keys.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 nullable field without a central normalizer could produce inconsistent labels; require one server utility for normalization and aggregation.</w:t>
      </w:r>
    </w:p>
    <w:p>
      <w:pPr>
        <w:pStyle w:val="Heading1"/>
      </w:pPr>
      <w:r>
        <w:t>Tests Required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Contract tests for accepted/rejected provider structures and stable normalized output.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Model/repository tests for null legacy, populated current, duplicate replay, and atomic transaction behavior.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Migration tests for fresh schema, upgrade schema, idempotent rerun, and rollback of only the additive field.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Architecture guardrail checks for controller/usecase/repository boundaries.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AC-010: A single canonical snapshot is identified for provider data; reports and Z-reading do not invent separate persistence.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AC-011: The proposed contract keeps generic tender and provider classification separate.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AC-012: Migration behavior is additive, legacy-safe, and reversible without deleting unrelated data.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D-001/D-002 decision record.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Schema naming review against all existing PosTransaction fields and tenant-schema coverage tooling.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Phase 471 completion before Phase 472 execution is eligible.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docs/architecture/ARCHITECTURE_BOUNDARIES.md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docs/architecture/ARCHITECTURE_GOVERNANCE.md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docs/architecture/adr/0039-adr-lifecycle-strictness-tiers-and-amendment-path.md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docs/architecture/adr/0063-pos-split-tender-and-manual-payment-recording.md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apps/dgfy-api/src/models/PosTransaction.js</w:t>
      </w:r>
    </w:p>
    <w:p>
      <w:pPr>
        <w:pStyle w:val="ListBullet"/>
      </w:pPr>
      <w:r>
        <w:rPr>
          <w:rFonts w:ascii="Aptos" w:hAnsi="Aptos"/>
          <w:b w:val="0"/>
          <w:i w:val="0"/>
          <w:sz w:val="20"/>
        </w:rPr>
        <w:t>apps/dgfy-migration-runner/migrations/20260812000007-add-pos-payment-confirmation-and-breakdown.cjs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4748B"/>
        <w:sz w:val="17"/>
      </w:rPr>
      <w:t xml:space="preserve">POS Delivery Provider Payment Breakdown  •  Section 03  •  Page </w:t>
    </w:r>
    <w:r>
      <w:rPr>
        <w:rFonts w:ascii="Aptos" w:hAnsi="Aptos"/>
        <w:b w:val="0"/>
        <w:i w:val="0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475569"/>
        <w:sz w:val="17"/>
      </w:rPr>
      <w:t>DGFY POS  |  PLAN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1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A5B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2D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Delivery Provider Payment Breakdown - Section 03 - Target Architecture and Data Model</dc:title>
  <dc:subject>Execution-ready plan for delivery provider payment classification and reporting</dc:subject>
  <dc:creator>Codex</dc:creator>
  <cp:keywords/>
  <dc:description>Plan artifact only. No application code is changed by this document set.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