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 BIR Annex B Items 4 to 14 Readiness Index</w:t>
      </w:r>
    </w:p>
    <w:p>
      <w:pPr>
        <w:spacing w:after="200"/>
      </w:pPr>
      <w:r>
        <w:rPr>
          <w:rFonts w:ascii="Aptos" w:hAnsi="Aptos"/>
          <w:b w:val="0"/>
          <w:i w:val="0"/>
          <w:color w:val="385A7A"/>
          <w:sz w:val="20"/>
        </w:rPr>
        <w:t>POS BIR Annex B Items 4 to 14 Readiness | Plan version 1.0 | Section 00</w:t>
      </w:r>
    </w:p>
    <w:tbl>
      <w:tblPr>
        <w:tblW w:type="auto" w:w="0"/>
        <w:jc w:val="left"/>
        <w:tblLayout w:type="autofit"/>
        <w:tblLook w:firstColumn="1" w:firstRow="1" w:lastColumn="0" w:lastRow="0" w:noHBand="0" w:noVBand="1" w:val="04A0"/>
      </w:tblPr>
      <w:tblGrid>
        <w:gridCol w:w="5040"/>
        <w:gridCol w:w="5040"/>
      </w:tblGrid>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Project name</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POS BIR Annex B Items 4 to 14 Readiness</w:t>
            </w:r>
          </w:p>
        </w:tc>
      </w:tr>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Plan version</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1.0</w:t>
            </w:r>
          </w:p>
        </w:tc>
      </w:tr>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Repository baseline</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C:\xampp\htdocs\POS-DGFY | branch feat/DGFY-343-2067-pos-workflow-consolidation | HEAD 786cd4e8329db1a65398ce6aa7eb020ffc8f3b28</w:t>
            </w:r>
          </w:p>
        </w:tc>
      </w:tr>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Planning mode</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Planning only. This artifact does not implement code, migrations, configuration, or release actions.</w:t>
            </w:r>
          </w:p>
        </w:tc>
      </w:tr>
    </w:tbl>
    <w:p/>
    <w:p>
      <w:pPr>
        <w:pStyle w:val="Heading1"/>
      </w:pPr>
      <w:r>
        <w:t>Purpose</w:t>
      </w:r>
    </w:p>
    <w:p>
      <w:r>
        <w:rPr>
          <w:rFonts w:ascii="Aptos" w:hAnsi="Aptos"/>
          <w:b w:val="0"/>
          <w:i w:val="0"/>
        </w:rPr>
        <w:t>Provide the execution agent with the authoritative reading order, scope, traceability, phase sequence, and completion gates for implementing and evidencing RMO 24-2023 Annex B Items 4 through 14 in the existing DGFY POS system.</w:t>
      </w:r>
    </w:p>
    <w:p>
      <w:pPr>
        <w:pStyle w:val="Heading1"/>
      </w:pPr>
      <w:r>
        <w:t>Dependencies</w:t>
      </w:r>
    </w:p>
    <w:p>
      <w:pPr>
        <w:pStyle w:val="ListBullet"/>
      </w:pPr>
      <w:r>
        <w:rPr>
          <w:rFonts w:ascii="Aptos" w:hAnsi="Aptos"/>
          <w:b w:val="0"/>
          <w:i w:val="0"/>
        </w:rPr>
        <w:t>Supplied BIR Annex B checklist PDF: RMO 24-2023 Annex B Checklist of Documentary Requirements v2.</w:t>
      </w:r>
    </w:p>
    <w:p>
      <w:pPr>
        <w:pStyle w:val="ListBullet"/>
      </w:pPr>
      <w:r>
        <w:rPr>
          <w:rFonts w:ascii="Aptos" w:hAnsi="Aptos"/>
          <w:b w:val="0"/>
          <w:i w:val="0"/>
        </w:rPr>
        <w:t>docs/START_HERE.md, docs/architecture/ARCHITECTURE_BOUNDARIES.md, and docs/architecture/ARCHITECTURE_GOVERNANCE.md.</w:t>
      </w:r>
    </w:p>
    <w:p>
      <w:pPr>
        <w:pStyle w:val="ListBullet"/>
      </w:pPr>
      <w:r>
        <w:rPr>
          <w:rFonts w:ascii="Aptos" w:hAnsi="Aptos"/>
          <w:b w:val="0"/>
          <w:i w:val="0"/>
        </w:rPr>
        <w:t>Authoritative ADR 0042 for RMO closure, ADR 0007 for dual-mode fiscal/non-fiscal behavior, and ADR 0045 for the shared POS receipt renderer.</w:t>
      </w:r>
    </w:p>
    <w:p>
      <w:pPr>
        <w:pStyle w:val="ListBullet"/>
      </w:pPr>
      <w:r>
        <w:rPr>
          <w:rFonts w:ascii="Aptos" w:hAnsi="Aptos"/>
          <w:b w:val="0"/>
          <w:i w:val="0"/>
        </w:rPr>
        <w:t>Current root checkout and phase ledger; no StagingPOS worktree or staging environment is part of this plan.</w:t>
      </w:r>
    </w:p>
    <w:p>
      <w:pPr>
        <w:pStyle w:val="Heading1"/>
      </w:pPr>
      <w:r>
        <w:t>Confirmed Facts</w:t>
      </w:r>
    </w:p>
    <w:p>
      <w:pPr>
        <w:pStyle w:val="ListBullet"/>
      </w:pPr>
      <w:r>
        <w:rPr>
          <w:rFonts w:ascii="Aptos" w:hAnsi="Aptos"/>
          <w:b w:val="0"/>
          <w:i w:val="0"/>
        </w:rPr>
        <w:t>The supplied PDF is two pages and Items 4 through 14 are documentary requirements. It does not define a complete software implementation specification by itself.</w:t>
      </w:r>
    </w:p>
    <w:p>
      <w:pPr>
        <w:pStyle w:val="ListBullet"/>
      </w:pPr>
      <w:r>
        <w:rPr>
          <w:rFonts w:ascii="Aptos" w:hAnsi="Aptos"/>
          <w:b w:val="0"/>
          <w:i w:val="0"/>
        </w:rPr>
        <w:t>The root repository phase ledger currently ends at Phase 352, whose status is in_progress. The next repository number for a new initiative is therefore proposed as Phase 353; Phase 352 must not be renumbered or overwritten.</w:t>
      </w:r>
    </w:p>
    <w:p>
      <w:pPr>
        <w:pStyle w:val="ListBullet"/>
      </w:pPr>
      <w:r>
        <w:rPr>
          <w:rFonts w:ascii="Aptos" w:hAnsi="Aptos"/>
          <w:b w:val="0"/>
          <w:i w:val="0"/>
        </w:rPr>
        <w:t>Existing internal controls include explicit fiscal/non-fiscal receipt contracts, server-owned fiscal snapshots and hashes, fiscal events, X/Z reading routes, eSales package tracking, compliance artifacts, final-review documents, version badges, audit logs, and POS online/offline state.</w:t>
      </w:r>
    </w:p>
    <w:p>
      <w:pPr>
        <w:pStyle w:val="ListBullet"/>
      </w:pPr>
      <w:r>
        <w:rPr>
          <w:rFonts w:ascii="Aptos" w:hAnsi="Aptos"/>
          <w:b w:val="0"/>
          <w:i w:val="0"/>
        </w:rPr>
        <w:t>Existing code does not prove that every Annex B evidence artifact is generated, complete, reviewed, fresh, or accepted by BIR. That is the gap this plan closes.</w:t>
      </w:r>
    </w:p>
    <w:p>
      <w:pPr>
        <w:pStyle w:val="Heading1"/>
      </w:pPr>
      <w:r>
        <w:t>Assumptions and Unknowns</w:t>
      </w:r>
    </w:p>
    <w:p>
      <w:pPr>
        <w:pStyle w:val="ListBullet"/>
      </w:pPr>
      <w:r>
        <w:rPr>
          <w:rFonts w:ascii="Aptos" w:hAnsi="Aptos"/>
          <w:b w:val="0"/>
          <w:i w:val="0"/>
        </w:rPr>
        <w:t>Implementation will happen locally first, with local database, local stack, deterministic fixtures, and local browser evidence. No staging credentials or staging QA is required by this plan.</w:t>
      </w:r>
    </w:p>
    <w:p>
      <w:pPr>
        <w:pStyle w:val="ListBullet"/>
      </w:pPr>
      <w:r>
        <w:rPr>
          <w:rFonts w:ascii="Aptos" w:hAnsi="Aptos"/>
          <w:b w:val="0"/>
          <w:i w:val="0"/>
        </w:rPr>
        <w:t>The exact BIR/provider e-journal text grammar and any current tax wording changes must be source-locked before final schema and sample approval. The plan deliberately forbids inventing an official grammar.</w:t>
      </w:r>
    </w:p>
    <w:p>
      <w:pPr>
        <w:pStyle w:val="ListBullet"/>
      </w:pPr>
      <w:r>
        <w:rPr>
          <w:rFonts w:ascii="Aptos" w:hAnsi="Aptos"/>
          <w:b w:val="0"/>
          <w:i w:val="0"/>
        </w:rPr>
        <w:t>External BIR/TWG acceptance, tax-practitioner sign-off, eAccReg filing acceptance, PTU/ATG decisions, and official eSales submission acknowledgement remain external gates.</w:t>
      </w:r>
    </w:p>
    <w:p>
      <w:pPr>
        <w:pStyle w:val="ListBullet"/>
      </w:pPr>
      <w:r>
        <w:rPr>
          <w:rFonts w:ascii="Aptos" w:hAnsi="Aptos"/>
          <w:b w:val="0"/>
          <w:i w:val="0"/>
        </w:rPr>
        <w:t>Existing compliance final-review storage should be extended before a new evidence store is introduced. A new table is only justified if the existing model cannot retain the required immutable manifest or artifact relationships.</w:t>
      </w:r>
    </w:p>
    <w:p>
      <w:pPr>
        <w:pStyle w:val="Heading1"/>
      </w:pPr>
      <w:r>
        <w:t>Requirements Covered</w:t>
      </w:r>
    </w:p>
    <w:tbl>
      <w:tblPr>
        <w:tblW w:type="auto" w:w="0"/>
        <w:jc w:val="left"/>
        <w:tblLayout w:type="autofit"/>
        <w:tblLook w:firstColumn="1" w:firstRow="1" w:lastColumn="0" w:lastRow="0" w:noHBand="0" w:noVBand="1" w:val="04A0"/>
      </w:tblPr>
      <w:tblGrid>
        <w:gridCol w:w="5040"/>
        <w:gridCol w:w="5040"/>
      </w:tblGrid>
      <w:tr>
        <w:trPr>
          <w:tblHeader w:val="true"/>
        </w:trPr>
        <w:tc>
          <w:tcPr>
            <w:tcW w:type="dxa" w:w="1440"/>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ID</w:t>
            </w:r>
          </w:p>
        </w:tc>
        <w:tc>
          <w:tcPr>
            <w:tcW w:type="dxa" w:w="9216"/>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Requirement</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FR-401 to FR-404</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Deliver runtime and evidence support for receipt/invoice samples, adjustment documents, X/Z readings, and report samples.</w:t>
            </w:r>
          </w:p>
        </w:tc>
      </w:tr>
      <w:tr>
        <w:tc>
          <w:tcPr>
            <w:tcW w:type="dxa" w:w="144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FR-405 to FR-406</w:t>
            </w:r>
          </w:p>
        </w:tc>
        <w:tc>
          <w:tcPr>
            <w:tcW w:type="dxa" w:w="92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Deliver a reproducible e-journal package plus controlled system description and design narrative.</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FR-407 to FR-410</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Deliver version, online/offline, manual, audit-trail, and backup/DRP evidence.</w:t>
            </w:r>
          </w:p>
        </w:tc>
      </w:tr>
      <w:tr>
        <w:tc>
          <w:tcPr>
            <w:tcW w:type="dxa" w:w="144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BR-401 to BR-409</w:t>
            </w:r>
          </w:p>
        </w:tc>
        <w:tc>
          <w:tcPr>
            <w:tcW w:type="dxa" w:w="92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Keep fiscal source-of-truth, historical snapshots, external acceptance boundaries, and offline rules explicit.</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SEC/PERM/AUD</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Enforce tenant, location, operator, export, append-only, redaction, and audit boundaries.</w:t>
            </w:r>
          </w:p>
        </w:tc>
      </w:tr>
      <w:tr>
        <w:tc>
          <w:tcPr>
            <w:tcW w:type="dxa" w:w="144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REP/DATA/MIG/OPS/NFR</w:t>
            </w:r>
          </w:p>
        </w:tc>
        <w:tc>
          <w:tcPr>
            <w:tcW w:type="dxa" w:w="92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Make outputs deterministic, complete, retained, recoverable, and release-gated.</w:t>
            </w:r>
          </w:p>
        </w:tc>
      </w:tr>
    </w:tbl>
    <w:p>
      <w:pPr>
        <w:spacing w:after="40"/>
      </w:pPr>
    </w:p>
    <w:p>
      <w:pPr>
        <w:pStyle w:val="Heading1"/>
      </w:pPr>
      <w:r>
        <w:t>Plan Content</w:t>
      </w:r>
    </w:p>
    <w:p>
      <w:pPr>
        <w:pStyle w:val="Heading2"/>
      </w:pPr>
      <w:r>
        <w:t>Original user request</w:t>
      </w:r>
    </w:p>
    <w:p>
      <w:r>
        <w:rPr>
          <w:rFonts w:ascii="Aptos" w:hAnsi="Aptos"/>
          <w:b w:val="0"/>
          <w:i w:val="0"/>
        </w:rPr>
        <w:t>Check the supplied RMO 24-2023 Annex B PDF, read requirements 4 through 14, and create an implementation plan using the plan-creator skill so the requirements exist and function at 100 percent for BIR readiness.</w:t>
      </w:r>
    </w:p>
    <w:p>
      <w:pPr>
        <w:pStyle w:val="Heading2"/>
      </w:pPr>
      <w:r>
        <w:t>Final objective</w:t>
      </w:r>
    </w:p>
    <w:p>
      <w:r>
        <w:rPr>
          <w:rFonts w:ascii="Aptos" w:hAnsi="Aptos"/>
          <w:b w:val="0"/>
          <w:i w:val="0"/>
        </w:rPr>
        <w:t>Create a local-first, execution-ready work program that closes Items 4 through 14 through three linked gates: functional runtime behavior, a controlled documentary/evidence pack, and local release-quality verification. The plan is complete when every in-scope item has a named owner, source of truth, implementation task, evidence artifact, test, acceptance criterion, and external-review status.</w:t>
      </w:r>
    </w:p>
    <w:p>
      <w:pPr>
        <w:pStyle w:val="Heading2"/>
      </w:pPr>
      <w:r>
        <w:t>Definition of 100 percent</w:t>
      </w:r>
    </w:p>
    <w:p>
      <w:r>
        <w:rPr>
          <w:rFonts w:ascii="Aptos" w:hAnsi="Aptos"/>
          <w:b w:val="0"/>
          <w:i w:val="0"/>
        </w:rPr>
        <w:t>100 percent means all Items 4 through 14 are mapped, implemented or deliberately marked not applicable with reviewer rationale, generated from real local fixtures, checksumed, reviewed, and accepted by the internal readiness gate. It does not mean DGFY can unilaterally claim BIR approval. External BIR/TWG validation and legal/tax sign-off remain separate statuses.</w:t>
      </w:r>
    </w:p>
    <w:p>
      <w:pPr>
        <w:pStyle w:val="Heading2"/>
      </w:pPr>
      <w:r>
        <w:t>Plan document reading order</w:t>
      </w:r>
    </w:p>
    <w:tbl>
      <w:tblPr>
        <w:tblW w:type="auto" w:w="0"/>
        <w:jc w:val="left"/>
        <w:tblLayout w:type="autofit"/>
        <w:tblLook w:firstColumn="1" w:firstRow="1" w:lastColumn="0" w:lastRow="0" w:noHBand="0" w:noVBand="1" w:val="04A0"/>
      </w:tblPr>
      <w:tblGrid>
        <w:gridCol w:w="3360"/>
        <w:gridCol w:w="3360"/>
        <w:gridCol w:w="3360"/>
      </w:tblGrid>
      <w:tr>
        <w:trPr>
          <w:tblHeader w:val="true"/>
        </w:trPr>
        <w:tc>
          <w:tcPr>
            <w:tcW w:type="dxa" w:w="792"/>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Order</w:t>
            </w:r>
          </w:p>
        </w:tc>
        <w:tc>
          <w:tcPr>
            <w:tcW w:type="dxa" w:w="410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Document</w:t>
            </w:r>
          </w:p>
        </w:tc>
        <w:tc>
          <w:tcPr>
            <w:tcW w:type="dxa" w:w="5760"/>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Use</w:t>
            </w:r>
          </w:p>
        </w:tc>
      </w:tr>
      <w:tr>
        <w:tc>
          <w:tcPr>
            <w:tcW w:type="dxa" w:w="79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00</w:t>
            </w:r>
          </w:p>
        </w:tc>
        <w:tc>
          <w:tcPr>
            <w:tcW w:type="dxa" w:w="41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00_POS_BIR_Annex_B_Items_4_to_14_Readiness_Index.docx</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Entry point, definitions, indexes, traceability, phase sequence, warnings.</w:t>
            </w:r>
          </w:p>
        </w:tc>
      </w:tr>
      <w:tr>
        <w:tc>
          <w:tcPr>
            <w:tcW w:type="dxa" w:w="79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01</w:t>
            </w:r>
          </w:p>
        </w:tc>
        <w:tc>
          <w:tcPr>
            <w:tcW w:type="dxa" w:w="41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01_Objective_and_Current_State.docx</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Confirmed baseline, current flow, gaps, scope, root causes.</w:t>
            </w:r>
          </w:p>
        </w:tc>
      </w:tr>
      <w:tr>
        <w:tc>
          <w:tcPr>
            <w:tcW w:type="dxa" w:w="79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02</w:t>
            </w:r>
          </w:p>
        </w:tc>
        <w:tc>
          <w:tcPr>
            <w:tcW w:type="dxa" w:w="41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02_Annex_B_Items_4_to_14_Requirements.docx</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Checklist interpretation, functional requirements, business rules, evidence obligations.</w:t>
            </w:r>
          </w:p>
        </w:tc>
      </w:tr>
      <w:tr>
        <w:tc>
          <w:tcPr>
            <w:tcW w:type="dxa" w:w="79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03</w:t>
            </w:r>
          </w:p>
        </w:tc>
        <w:tc>
          <w:tcPr>
            <w:tcW w:type="dxa" w:w="41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03_Current_and_Target_Architecture.docx</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Reuse/extend design, module boundaries, target flow, source-of-truth decisions.</w:t>
            </w:r>
          </w:p>
        </w:tc>
      </w:tr>
      <w:tr>
        <w:tc>
          <w:tcPr>
            <w:tcW w:type="dxa" w:w="79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04</w:t>
            </w:r>
          </w:p>
        </w:tc>
        <w:tc>
          <w:tcPr>
            <w:tcW w:type="dxa" w:w="41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04_Fiscal_Documents_Adjustments_and_Readings.docx</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Items 4, 5, and 6 runtime and evidence implementation.</w:t>
            </w:r>
          </w:p>
        </w:tc>
      </w:tr>
      <w:tr>
        <w:tc>
          <w:tcPr>
            <w:tcW w:type="dxa" w:w="79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05</w:t>
            </w:r>
          </w:p>
        </w:tc>
        <w:tc>
          <w:tcPr>
            <w:tcW w:type="dxa" w:w="41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05_EJournal_Reports_and_Evidence_Exports.docx</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Items 7 and 8, exports, manifests, reproducibility, and evidence packaging.</w:t>
            </w:r>
          </w:p>
        </w:tc>
      </w:tr>
      <w:tr>
        <w:tc>
          <w:tcPr>
            <w:tcW w:type="dxa" w:w="79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06</w:t>
            </w:r>
          </w:p>
        </w:tc>
        <w:tc>
          <w:tcPr>
            <w:tcW w:type="dxa" w:w="41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06_Version_Connectivity_Manual_and_DR.docx</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Items 9, 10, 11, 12, and 14 evidence and operating documents.</w:t>
            </w:r>
          </w:p>
        </w:tc>
      </w:tr>
      <w:tr>
        <w:tc>
          <w:tcPr>
            <w:tcW w:type="dxa" w:w="79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07</w:t>
            </w:r>
          </w:p>
        </w:tc>
        <w:tc>
          <w:tcPr>
            <w:tcW w:type="dxa" w:w="41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07_Data_Security_Permissions_and_Migration.docx</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Data model, security, permissions, audit, migration, retention.</w:t>
            </w:r>
          </w:p>
        </w:tc>
      </w:tr>
      <w:tr>
        <w:tc>
          <w:tcPr>
            <w:tcW w:type="dxa" w:w="79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08</w:t>
            </w:r>
          </w:p>
        </w:tc>
        <w:tc>
          <w:tcPr>
            <w:tcW w:type="dxa" w:w="41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08_Implementation_Phases_and_Dependencies.docx</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Proposed continuous phases 353 through 362 and execution order.</w:t>
            </w:r>
          </w:p>
        </w:tc>
      </w:tr>
      <w:tr>
        <w:tc>
          <w:tcPr>
            <w:tcW w:type="dxa" w:w="79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09</w:t>
            </w:r>
          </w:p>
        </w:tc>
        <w:tc>
          <w:tcPr>
            <w:tcW w:type="dxa" w:w="41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09_Testing_Release_Rollback_and_Acceptance.docx</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Local tests, evidence gates, release, stop conditions, rollback.</w:t>
            </w:r>
          </w:p>
        </w:tc>
      </w:tr>
      <w:tr>
        <w:tc>
          <w:tcPr>
            <w:tcW w:type="dxa" w:w="79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10</w:t>
            </w:r>
          </w:p>
        </w:tc>
        <w:tc>
          <w:tcPr>
            <w:tcW w:type="dxa" w:w="41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10_Traceability_and_Evidence_Pack.docx</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Item-to-requirement-to-test-to-evidence matrix and final pack contents.</w:t>
            </w:r>
          </w:p>
        </w:tc>
      </w:tr>
    </w:tbl>
    <w:p>
      <w:pPr>
        <w:spacing w:after="40"/>
      </w:pPr>
    </w:p>
    <w:p>
      <w:pPr>
        <w:pStyle w:val="Heading2"/>
      </w:pPr>
      <w:r>
        <w:t>Primary execution dependency graph</w:t>
      </w:r>
    </w:p>
    <w:p>
      <w:pPr>
        <w:pStyle w:val="ListNumber"/>
      </w:pPr>
      <w:r>
        <w:rPr>
          <w:rFonts w:ascii="Aptos" w:hAnsi="Aptos"/>
          <w:b w:val="0"/>
          <w:i w:val="0"/>
        </w:rPr>
        <w:t>Source-lock the current BIR and tax field rules, including the e-journal grammar and adjustment terminology.</w:t>
      </w:r>
    </w:p>
    <w:p>
      <w:pPr>
        <w:pStyle w:val="ListNumber"/>
      </w:pPr>
      <w:r>
        <w:rPr>
          <w:rFonts w:ascii="Aptos" w:hAnsi="Aptos"/>
          <w:b w:val="0"/>
          <w:i w:val="0"/>
        </w:rPr>
        <w:t>Freeze the Annex B control matrix and acceptance fixtures.</w:t>
      </w:r>
    </w:p>
    <w:p>
      <w:pPr>
        <w:pStyle w:val="ListNumber"/>
      </w:pPr>
      <w:r>
        <w:rPr>
          <w:rFonts w:ascii="Aptos" w:hAnsi="Aptos"/>
          <w:b w:val="0"/>
          <w:i w:val="0"/>
        </w:rPr>
        <w:t>Extend existing fiscal document, adjustment, reading, reporting, compliance final-review, and audit contracts.</w:t>
      </w:r>
    </w:p>
    <w:p>
      <w:pPr>
        <w:pStyle w:val="ListNumber"/>
      </w:pPr>
      <w:r>
        <w:rPr>
          <w:rFonts w:ascii="Aptos" w:hAnsi="Aptos"/>
          <w:b w:val="0"/>
          <w:i w:val="0"/>
        </w:rPr>
        <w:t>Add or extend additive migrations and repository/use-case/API contracts.</w:t>
      </w:r>
    </w:p>
    <w:p>
      <w:pPr>
        <w:pStyle w:val="ListNumber"/>
      </w:pPr>
      <w:r>
        <w:rPr>
          <w:rFonts w:ascii="Aptos" w:hAnsi="Aptos"/>
          <w:b w:val="0"/>
          <w:i w:val="0"/>
        </w:rPr>
        <w:t>Complete POS UI, Business Admin/report evidence, version/connectivity evidence, manual, and DRP artifacts.</w:t>
      </w:r>
    </w:p>
    <w:p>
      <w:pPr>
        <w:pStyle w:val="ListNumber"/>
      </w:pPr>
      <w:r>
        <w:rPr>
          <w:rFonts w:ascii="Aptos" w:hAnsi="Aptos"/>
          <w:b w:val="0"/>
          <w:i w:val="0"/>
        </w:rPr>
        <w:t>Run local database, API, browser, security, integrity, export, and restore-drill verification.</w:t>
      </w:r>
    </w:p>
    <w:p>
      <w:pPr>
        <w:pStyle w:val="ListNumber"/>
      </w:pPr>
      <w:r>
        <w:rPr>
          <w:rFonts w:ascii="Aptos" w:hAnsi="Aptos"/>
          <w:b w:val="0"/>
          <w:i w:val="0"/>
        </w:rPr>
        <w:t>Assemble the checksumed evidence pack and mark each internal gate pass or blocked with a reason.</w:t>
      </w:r>
    </w:p>
    <w:p>
      <w:pPr>
        <w:pStyle w:val="Heading2"/>
      </w:pPr>
      <w:r>
        <w:t>Important warnings</w:t>
      </w:r>
    </w:p>
    <w:p>
      <w:pPr>
        <w:pStyle w:val="ListBullet"/>
      </w:pPr>
      <w:r>
        <w:rPr>
          <w:rFonts w:ascii="Aptos" w:hAnsi="Aptos"/>
          <w:b w:val="0"/>
          <w:i w:val="0"/>
        </w:rPr>
        <w:t>Older reference text in docs/compliance/rmo-24-2023-gap-closure-plan.md uses the obsolete ADR 0025 filename. This plan uses authoritative ADR 0042 and requires stale references to be corrected in the implementation PR.</w:t>
      </w:r>
    </w:p>
    <w:p>
      <w:pPr>
        <w:pStyle w:val="ListBullet"/>
      </w:pPr>
      <w:r>
        <w:rPr>
          <w:rFonts w:ascii="Aptos" w:hAnsi="Aptos"/>
          <w:b w:val="0"/>
          <w:i w:val="0"/>
        </w:rPr>
        <w:t>Older compliance documents refer to backend/ and frontend/ paths. The current repository layout is apps/dgfy-api, apps/dgfy-migration-runner, apps/dgfy-pos, apps/dgfy-ims, apps/dgfy-storefront, and packages/web-core. Execution must use current paths.</w:t>
      </w:r>
    </w:p>
    <w:p>
      <w:pPr>
        <w:pStyle w:val="ListBullet"/>
      </w:pPr>
      <w:r>
        <w:rPr>
          <w:rFonts w:ascii="Aptos" w:hAnsi="Aptos"/>
          <w:b w:val="0"/>
          <w:i w:val="0"/>
        </w:rPr>
        <w:t>Do not call a normal report export an e-journal unless it contains every required receipt/invoice and adjustment record in the locked .txt grammar.</w:t>
      </w:r>
    </w:p>
    <w:p>
      <w:pPr>
        <w:pStyle w:val="ListBullet"/>
      </w:pPr>
      <w:r>
        <w:rPr>
          <w:rFonts w:ascii="Aptos" w:hAnsi="Aptos"/>
          <w:b w:val="0"/>
          <w:i w:val="0"/>
        </w:rPr>
        <w:t>Do not treat a generated sample, a local checkbox, or a PR as evidence of external BIR approval.</w:t>
      </w:r>
    </w:p>
    <w:p>
      <w:pPr>
        <w:pStyle w:val="Heading1"/>
      </w:pPr>
      <w:r>
        <w:t>Affected System Components</w:t>
      </w:r>
    </w:p>
    <w:tbl>
      <w:tblPr>
        <w:tblW w:type="auto" w:w="0"/>
        <w:jc w:val="left"/>
        <w:tblLayout w:type="autofit"/>
        <w:tblLook w:firstColumn="1" w:firstRow="1" w:lastColumn="0" w:lastRow="0" w:noHBand="0" w:noVBand="1" w:val="04A0"/>
      </w:tblPr>
      <w:tblGrid>
        <w:gridCol w:w="5040"/>
        <w:gridCol w:w="5040"/>
      </w:tblGrid>
      <w:tr>
        <w:trPr>
          <w:tblHeader w:val="true"/>
        </w:trPr>
        <w:tc>
          <w:tcPr>
            <w:tcW w:type="dxa" w:w="194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Classification</w:t>
            </w:r>
          </w:p>
        </w:tc>
        <w:tc>
          <w:tcPr>
            <w:tcW w:type="dxa" w:w="8712"/>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Components and expected treatment</w:t>
            </w:r>
          </w:p>
        </w:tc>
      </w:tr>
      <w:tr>
        <w:tc>
          <w:tcPr>
            <w:tcW w:type="dxa" w:w="194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Direct</w:t>
            </w:r>
          </w:p>
        </w:tc>
        <w:tc>
          <w:tcPr>
            <w:tcW w:type="dxa" w:w="87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apps/dgfy-api POS, compliance, reports, audit modules; apps/dgfy-migration-runner migrations; packages/web-core POS receipt/settings/report components; apps/dgfy-pos shell and evidence UI.</w:t>
            </w:r>
          </w:p>
        </w:tc>
      </w:tr>
      <w:tr>
        <w:tc>
          <w:tcPr>
            <w:tcW w:type="dxa" w:w="194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Indirect</w:t>
            </w:r>
          </w:p>
        </w:tc>
        <w:tc>
          <w:tcPr>
            <w:tcW w:type="dxa" w:w="87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Shared receipt package, tenant/location scope, permissions, settings, offline queue, version build stamping, backup/restore operations, and release gates.</w:t>
            </w:r>
          </w:p>
        </w:tc>
      </w:tr>
      <w:tr>
        <w:tc>
          <w:tcPr>
            <w:tcW w:type="dxa" w:w="194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Validation only</w:t>
            </w:r>
          </w:p>
        </w:tc>
        <w:tc>
          <w:tcPr>
            <w:tcW w:type="dxa" w:w="87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BIR/TWG current source text, tax-practitioner field review, eAccReg/PTU/ATG responsibility, provider submission acknowledgement.</w:t>
            </w:r>
          </w:p>
        </w:tc>
      </w:tr>
      <w:tr>
        <w:tc>
          <w:tcPr>
            <w:tcW w:type="dxa" w:w="194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Unchanged</w:t>
            </w:r>
          </w:p>
        </w:tc>
        <w:tc>
          <w:tcPr>
            <w:tcW w:type="dxa" w:w="87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Non-fiscal POS remains operational; historical transactions are not rewritten; existing tenant boundaries and terminal/shift protections remain authoritative.</w:t>
            </w:r>
          </w:p>
        </w:tc>
      </w:tr>
    </w:tbl>
    <w:p>
      <w:pPr>
        <w:spacing w:after="40"/>
      </w:pPr>
    </w:p>
    <w:p>
      <w:pPr>
        <w:pStyle w:val="Heading1"/>
      </w:pPr>
      <w:r>
        <w:t>Risks and Mitigations</w:t>
      </w:r>
    </w:p>
    <w:tbl>
      <w:tblPr>
        <w:tblW w:type="auto" w:w="0"/>
        <w:jc w:val="left"/>
        <w:tblLayout w:type="autofit"/>
        <w:tblLook w:firstColumn="1" w:firstRow="1" w:lastColumn="0" w:lastRow="0" w:noHBand="0" w:noVBand="1" w:val="04A0"/>
      </w:tblPr>
      <w:tblGrid>
        <w:gridCol w:w="3360"/>
        <w:gridCol w:w="3360"/>
        <w:gridCol w:w="3360"/>
      </w:tblGrid>
      <w:tr>
        <w:trPr>
          <w:tblHeader w:val="true"/>
        </w:trPr>
        <w:tc>
          <w:tcPr>
            <w:tcW w:type="dxa" w:w="100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ID</w:t>
            </w:r>
          </w:p>
        </w:tc>
        <w:tc>
          <w:tcPr>
            <w:tcW w:type="dxa" w:w="388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Risk</w:t>
            </w:r>
          </w:p>
        </w:tc>
        <w:tc>
          <w:tcPr>
            <w:tcW w:type="dxa" w:w="5760"/>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Mitigation</w:t>
            </w:r>
          </w:p>
        </w:tc>
      </w:tr>
      <w:tr>
        <w:tc>
          <w:tcPr>
            <w:tcW w:type="dxa" w:w="100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R-001</w:t>
            </w:r>
          </w:p>
        </w:tc>
        <w:tc>
          <w:tcPr>
            <w:tcW w:type="dxa" w:w="388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Official text grammar or tax wording is missing or changed.</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Phase 353 source-lock gate; no invented grammar; mark external review required.</w:t>
            </w:r>
          </w:p>
        </w:tc>
      </w:tr>
      <w:tr>
        <w:tc>
          <w:tcPr>
            <w:tcW w:type="dxa" w:w="100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R-002</w:t>
            </w:r>
          </w:p>
        </w:tc>
        <w:tc>
          <w:tcPr>
            <w:tcW w:type="dxa" w:w="388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Existing code is mistaken for complete documentary evidence.</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Separate runtime pass, evidence pass, and external acceptance status for every item.</w:t>
            </w:r>
          </w:p>
        </w:tc>
      </w:tr>
      <w:tr>
        <w:tc>
          <w:tcPr>
            <w:tcW w:type="dxa" w:w="100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R-003</w:t>
            </w:r>
          </w:p>
        </w:tc>
        <w:tc>
          <w:tcPr>
            <w:tcW w:type="dxa" w:w="388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A broad cross-boundary change creates duplicate sources of truth.</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Reuse existing fiscal snapshots, adjustments, compliance final-review documents, and audit models.</w:t>
            </w:r>
          </w:p>
        </w:tc>
      </w:tr>
      <w:tr>
        <w:tc>
          <w:tcPr>
            <w:tcW w:type="dxa" w:w="100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R-004</w:t>
            </w:r>
          </w:p>
        </w:tc>
        <w:tc>
          <w:tcPr>
            <w:tcW w:type="dxa" w:w="388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Dirty worktree causes unrelated files to be included.</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Use a clean implementation worktree or path-scoped commits; never reset user changes.</w:t>
            </w:r>
          </w:p>
        </w:tc>
      </w:tr>
      <w:tr>
        <w:tc>
          <w:tcPr>
            <w:tcW w:type="dxa" w:w="100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R-005</w:t>
            </w:r>
          </w:p>
        </w:tc>
        <w:tc>
          <w:tcPr>
            <w:tcW w:type="dxa" w:w="388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Offline provisional records are presented as final fiscal documents.</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Preserve ADR 0014: offline queue records remain provisional until replay and server acknowledgement.</w:t>
            </w:r>
          </w:p>
        </w:tc>
      </w:tr>
    </w:tbl>
    <w:p>
      <w:pPr>
        <w:spacing w:after="40"/>
      </w:pPr>
    </w:p>
    <w:p>
      <w:pPr>
        <w:pStyle w:val="Heading1"/>
      </w:pPr>
      <w:r>
        <w:t>Tests Required</w:t>
      </w:r>
    </w:p>
    <w:tbl>
      <w:tblPr>
        <w:tblW w:type="auto" w:w="0"/>
        <w:jc w:val="left"/>
        <w:tblLayout w:type="autofit"/>
        <w:tblLook w:firstColumn="1" w:firstRow="1" w:lastColumn="0" w:lastRow="0" w:noHBand="0" w:noVBand="1" w:val="04A0"/>
      </w:tblPr>
      <w:tblGrid>
        <w:gridCol w:w="3360"/>
        <w:gridCol w:w="3360"/>
        <w:gridCol w:w="3360"/>
      </w:tblGrid>
      <w:tr>
        <w:trPr>
          <w:tblHeader w:val="true"/>
        </w:trPr>
        <w:tc>
          <w:tcPr>
            <w:tcW w:type="dxa" w:w="122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Test ID</w:t>
            </w:r>
          </w:p>
        </w:tc>
        <w:tc>
          <w:tcPr>
            <w:tcW w:type="dxa" w:w="172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Type</w:t>
            </w:r>
          </w:p>
        </w:tc>
        <w:tc>
          <w:tcPr>
            <w:tcW w:type="dxa" w:w="770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Scenario and evidence</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TEST-400</w:t>
            </w:r>
          </w:p>
        </w:tc>
        <w:tc>
          <w:tcPr>
            <w:tcW w:type="dxa" w:w="172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Inspection</w:t>
            </w:r>
          </w:p>
        </w:tc>
        <w:tc>
          <w:tcPr>
            <w:tcW w:type="dxa" w:w="77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Read the PDF, mandatory architecture docs, ADRs, current code, tests, and phase ledger; record paths and commit.</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TEST-401</w:t>
            </w:r>
          </w:p>
        </w:tc>
        <w:tc>
          <w:tcPr>
            <w:tcW w:type="dxa" w:w="172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Traceability</w:t>
            </w:r>
          </w:p>
        </w:tc>
        <w:tc>
          <w:tcPr>
            <w:tcW w:type="dxa" w:w="77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Every Item 4-14 row links to requirements, phase, test, acceptance criterion, and evidence artifact.</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TEST-402</w:t>
            </w:r>
          </w:p>
        </w:tc>
        <w:tc>
          <w:tcPr>
            <w:tcW w:type="dxa" w:w="172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Governance</w:t>
            </w:r>
          </w:p>
        </w:tc>
        <w:tc>
          <w:tcPr>
            <w:tcW w:type="dxa" w:w="77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Architecture, compliance-impact, docs, migration, and release gates are identified before implementation.</w:t>
            </w:r>
          </w:p>
        </w:tc>
      </w:tr>
    </w:tbl>
    <w:p>
      <w:pPr>
        <w:spacing w:after="40"/>
      </w:pPr>
    </w:p>
    <w:p>
      <w:pPr>
        <w:pStyle w:val="Heading1"/>
      </w:pPr>
      <w:r>
        <w:t>Acceptance Criteria</w:t>
      </w:r>
    </w:p>
    <w:tbl>
      <w:tblPr>
        <w:tblW w:type="auto" w:w="0"/>
        <w:jc w:val="left"/>
        <w:tblLayout w:type="autofit"/>
        <w:tblLook w:firstColumn="1" w:firstRow="1" w:lastColumn="0" w:lastRow="0" w:noHBand="0" w:noVBand="1" w:val="04A0"/>
      </w:tblPr>
      <w:tblGrid>
        <w:gridCol w:w="5040"/>
        <w:gridCol w:w="5040"/>
      </w:tblGrid>
      <w:tr>
        <w:trPr>
          <w:tblHeader w:val="true"/>
        </w:trPr>
        <w:tc>
          <w:tcPr>
            <w:tcW w:type="dxa" w:w="122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ID</w:t>
            </w:r>
          </w:p>
        </w:tc>
        <w:tc>
          <w:tcPr>
            <w:tcW w:type="dxa" w:w="9432"/>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Measurable acceptance criterion</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AC-400</w:t>
            </w:r>
          </w:p>
        </w:tc>
        <w:tc>
          <w:tcPr>
            <w:tcW w:type="dxa" w:w="943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All 11 requested Annex B items are represented in the plan with no missing item numbers.</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AC-401</w:t>
            </w:r>
          </w:p>
        </w:tc>
        <w:tc>
          <w:tcPr>
            <w:tcW w:type="dxa" w:w="943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The plan distinguishes confirmed implementation, inferred reuse, assumptions, unknowns, and external gates.</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AC-402</w:t>
            </w:r>
          </w:p>
        </w:tc>
        <w:tc>
          <w:tcPr>
            <w:tcW w:type="dxa" w:w="943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The plan gives an execution agent an ordered implementation and verification sequence without requiring design guessing.</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AC-403</w:t>
            </w:r>
          </w:p>
        </w:tc>
        <w:tc>
          <w:tcPr>
            <w:tcW w:type="dxa" w:w="943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No application code, migration, environment, PR, or deployment was changed while creating this plan.</w:t>
            </w:r>
          </w:p>
        </w:tc>
      </w:tr>
    </w:tbl>
    <w:p>
      <w:pPr>
        <w:spacing w:after="40"/>
      </w:pPr>
    </w:p>
    <w:p>
      <w:pPr>
        <w:pStyle w:val="Heading1"/>
      </w:pPr>
      <w:r>
        <w:t>Execution Dependencies</w:t>
      </w:r>
    </w:p>
    <w:p>
      <w:pPr>
        <w:pStyle w:val="ListNumber"/>
      </w:pPr>
      <w:r>
        <w:rPr>
          <w:rFonts w:ascii="Aptos" w:hAnsi="Aptos"/>
          <w:b w:val="0"/>
          <w:i w:val="0"/>
        </w:rPr>
        <w:t>Read this index first, then read Sections 01 through 10 in order.</w:t>
      </w:r>
    </w:p>
    <w:p>
      <w:pPr>
        <w:pStyle w:val="ListNumber"/>
      </w:pPr>
      <w:r>
        <w:rPr>
          <w:rFonts w:ascii="Aptos" w:hAnsi="Aptos"/>
          <w:b w:val="0"/>
          <w:i w:val="0"/>
        </w:rPr>
        <w:t>Before implementation, re-check the phase ledger and branch baseline; reserve the next eligible phase after Phase 352 without renumbering history.</w:t>
      </w:r>
    </w:p>
    <w:p>
      <w:pPr>
        <w:pStyle w:val="ListNumber"/>
      </w:pPr>
      <w:r>
        <w:rPr>
          <w:rFonts w:ascii="Aptos" w:hAnsi="Aptos"/>
          <w:b w:val="0"/>
          <w:i w:val="0"/>
        </w:rPr>
        <w:t>Run the source-lock and compliance preflight tasks before changing fiscal or compliance behavior.</w:t>
      </w:r>
    </w:p>
    <w:p>
      <w:pPr>
        <w:pStyle w:val="ListNumber"/>
      </w:pPr>
      <w:r>
        <w:rPr>
          <w:rFonts w:ascii="Aptos" w:hAnsi="Aptos"/>
          <w:b w:val="0"/>
          <w:i w:val="0"/>
        </w:rPr>
        <w:t>Implement in the phase order in Section 08 and use Section 09 as the definition of done.</w:t>
      </w:r>
    </w:p>
    <w:p>
      <w:pPr>
        <w:pStyle w:val="ListNumber"/>
      </w:pPr>
      <w:r>
        <w:rPr>
          <w:rFonts w:ascii="Aptos" w:hAnsi="Aptos"/>
          <w:b w:val="0"/>
          <w:i w:val="0"/>
        </w:rPr>
        <w:t>Use Section 10 to assemble the final evidence packet and record external sign-off separately.</w:t>
      </w:r>
    </w:p>
    <w:p>
      <w:pPr>
        <w:pStyle w:val="Heading1"/>
      </w:pPr>
      <w:r>
        <w:t>Cross References</w:t>
      </w:r>
    </w:p>
    <w:p>
      <w:pPr>
        <w:pStyle w:val="ListBullet"/>
      </w:pPr>
      <w:r>
        <w:rPr>
          <w:rFonts w:ascii="Aptos" w:hAnsi="Aptos"/>
          <w:b w:val="0"/>
          <w:i w:val="0"/>
        </w:rPr>
        <w:t>Supplied source: RMO 24-2023 Annex B Checklist of Documentary Requirements v2 PDF.</w:t>
      </w:r>
    </w:p>
    <w:p>
      <w:pPr>
        <w:pStyle w:val="ListBullet"/>
      </w:pPr>
      <w:r>
        <w:rPr>
          <w:rFonts w:ascii="Aptos" w:hAnsi="Aptos"/>
          <w:b w:val="0"/>
          <w:i w:val="0"/>
        </w:rPr>
        <w:t>docs/START_HERE.md; docs/architecture/ARCHITECTURE_BOUNDARIES.md; docs/architecture/ARCHITECTURE_GOVERNANCE.md.</w:t>
      </w:r>
    </w:p>
    <w:p>
      <w:pPr>
        <w:pStyle w:val="ListBullet"/>
      </w:pPr>
      <w:r>
        <w:rPr>
          <w:rFonts w:ascii="Aptos" w:hAnsi="Aptos"/>
          <w:b w:val="0"/>
          <w:i w:val="0"/>
        </w:rPr>
        <w:t>docs/architecture/adr/0007-dual-mode-pos-compliance-program.md; docs/architecture/adr/0033-commercial-promo-and-statutory-pos-discount-boundaries.md; docs/architecture/adr/0042-bir-rmo-24-2023-fiscal-document-and-accreditation-closure.md; docs/architecture/adr/0045-shared-pos-receipt-renderer.md; docs/architecture/adr/0081-per-app-container-semantic-versioning.md.</w:t>
      </w:r>
    </w:p>
    <w:p>
      <w:pPr>
        <w:pStyle w:val="ListBullet"/>
      </w:pPr>
      <w:r>
        <w:rPr>
          <w:rFonts w:ascii="Aptos" w:hAnsi="Aptos"/>
          <w:b w:val="0"/>
          <w:i w:val="0"/>
        </w:rPr>
        <w:t>docs/compliance/rmo-24-2023-control-matrix.md; docs/compliance/submission/software-specification-dgfy.md; docs/compliance/submission/backup-disaster-recovery-plan.md; docs/features/IMPLEMENTATION_PHASE_LEDGER.md.</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b w:val="0"/>
        <w:i w:val="0"/>
        <w:color w:val="666666"/>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