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and Current State</w:t>
      </w:r>
    </w:p>
    <w:p>
      <w:pPr>
        <w:spacing w:after="200"/>
      </w:pPr>
      <w:r>
        <w:rPr>
          <w:rFonts w:ascii="Aptos" w:hAnsi="Aptos"/>
          <w:b w:val="0"/>
          <w:i w:val="0"/>
          <w:color w:val="385A7A"/>
          <w:sz w:val="20"/>
        </w:rPr>
        <w:t>POS BIR Annex B Items 4 to 14 Readiness | Plan version 1.0 | Section 01</w:t>
      </w:r>
    </w:p>
    <w:tbl>
      <w:tblPr>
        <w:tblW w:type="auto" w:w="0"/>
        <w:jc w:val="left"/>
        <w:tblLayout w:type="autofit"/>
        <w:tblLook w:firstColumn="1" w:firstRow="1" w:lastColumn="0" w:lastRow="0" w:noHBand="0" w:noVBand="1" w:val="04A0"/>
      </w:tblPr>
      <w:tblGrid>
        <w:gridCol w:w="5040"/>
        <w:gridCol w:w="5040"/>
      </w:tblGrid>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Project name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POS BIR Annex B Items 4 to 14 Readiness</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 version</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1.0</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Repository baseline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C:\xampp\htdocs\POS-DGFY | branch feat/DGFY-343-2067-pos-workflow-consolidation | HEAD 786cd4e8329db1a65398ce6aa7eb020ffc8f3b28</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Planning mode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Planning only. This artifact does not implement code, migrations, configuration, or release actions.</w:t>
            </w:r>
          </w:p>
        </w:tc>
      </w:tr>
    </w:tbl>
    <w:p/>
    <w:p>
      <w:pPr>
        <w:pStyle w:val="Heading1"/>
      </w:pPr>
      <w:r>
        <w:t>Purpose</w:t>
      </w:r>
    </w:p>
    <w:p>
      <w:r>
        <w:rPr>
          <w:rFonts w:ascii="Aptos" w:hAnsi="Aptos"/>
          <w:b w:val="0"/>
          <w:i w:val="0"/>
        </w:rPr>
        <w:t>Document the actual baseline before implementation and explain why Items 4 through 14 are not yet a single completed feature, even though several underlying controls already exist.</w:t>
      </w:r>
    </w:p>
    <w:p>
      <w:pPr>
        <w:pStyle w:val="Heading1"/>
      </w:pPr>
      <w:r>
        <w:t>Dependencies</w:t>
      </w:r>
    </w:p>
    <w:p>
      <w:pPr>
        <w:pStyle w:val="ListBullet"/>
      </w:pPr>
      <w:r>
        <w:rPr>
          <w:rFonts w:ascii="Aptos" w:hAnsi="Aptos"/>
          <w:b w:val="0"/>
          <w:i w:val="0"/>
        </w:rPr>
        <w:t>Section 00 index.</w:t>
      </w:r>
    </w:p>
    <w:p>
      <w:pPr>
        <w:pStyle w:val="ListBullet"/>
      </w:pPr>
      <w:r>
        <w:rPr>
          <w:rFonts w:ascii="Aptos" w:hAnsi="Aptos"/>
          <w:b w:val="0"/>
          <w:i w:val="0"/>
        </w:rPr>
        <w:t>Current root repository at the stated baseline.</w:t>
      </w:r>
    </w:p>
    <w:p>
      <w:pPr>
        <w:pStyle w:val="ListBullet"/>
      </w:pPr>
      <w:r>
        <w:rPr>
          <w:rFonts w:ascii="Aptos" w:hAnsi="Aptos"/>
          <w:b w:val="0"/>
          <w:i w:val="0"/>
        </w:rPr>
        <w:t>Supplied Annex B PDF and current compliance documentation.</w:t>
      </w:r>
    </w:p>
    <w:p>
      <w:pPr>
        <w:pStyle w:val="Heading1"/>
      </w:pPr>
      <w:r>
        <w:t>Confirmed Facts</w:t>
      </w:r>
    </w:p>
    <w:p>
      <w:pPr>
        <w:pStyle w:val="ListBullet"/>
      </w:pPr>
      <w:r>
        <w:rPr>
          <w:rFonts w:ascii="Aptos" w:hAnsi="Aptos"/>
          <w:b w:val="0"/>
          <w:i w:val="0"/>
        </w:rPr>
        <w:t>Item 4 has a shared browser/native receipt renderer, explicit fiscal/non-fiscal document context, server-owned fiscal snapshots, buyer/tax/discount fields, and receipt conformance tests.</w:t>
      </w:r>
    </w:p>
    <w:p>
      <w:pPr>
        <w:pStyle w:val="ListBullet"/>
      </w:pPr>
      <w:r>
        <w:rPr>
          <w:rFonts w:ascii="Aptos" w:hAnsi="Aptos"/>
          <w:b w:val="0"/>
          <w:i w:val="0"/>
        </w:rPr>
        <w:t>Item 5 has void and multiple refund use cases plus pos_transaction_adjustments, but the current adjustment enum shown in the root model has no explicit return adjustment type. A return must not be inferred from a void or an inventory reversal.</w:t>
      </w:r>
    </w:p>
    <w:p>
      <w:pPr>
        <w:pStyle w:val="ListBullet"/>
      </w:pPr>
      <w:r>
        <w:rPr>
          <w:rFonts w:ascii="Aptos" w:hAnsi="Aptos"/>
          <w:b w:val="0"/>
          <w:i w:val="0"/>
        </w:rPr>
        <w:t>Item 6 has X-reading and Z-reading routes, immutable Z snapshots, day-close controls, print support, and reading tests.</w:t>
      </w:r>
    </w:p>
    <w:p>
      <w:pPr>
        <w:pStyle w:val="ListBullet"/>
      </w:pPr>
      <w:r>
        <w:rPr>
          <w:rFonts w:ascii="Aptos" w:hAnsi="Aptos"/>
          <w:b w:val="0"/>
          <w:i w:val="0"/>
        </w:rPr>
        <w:t>Item 7 has a report registry, terminal reports, a compliance books package, discounts and refunds/voids datasets, and Business Admin fiscal/read-only surfaces. A complete Item 7 sample catalog is not yet proven.</w:t>
      </w:r>
    </w:p>
    <w:p>
      <w:pPr>
        <w:pStyle w:val="ListBullet"/>
      </w:pPr>
      <w:r>
        <w:rPr>
          <w:rFonts w:ascii="Aptos" w:hAnsi="Aptos"/>
          <w:b w:val="0"/>
          <w:i w:val="0"/>
        </w:rPr>
        <w:t>Item 8 has fiscal event and eSales support, but this inspection did not confirm a BIR-grammar-locked, receipt-complete .txt e-journal artifact in the root checkout.</w:t>
      </w:r>
    </w:p>
    <w:p>
      <w:pPr>
        <w:pStyle w:val="ListBullet"/>
      </w:pPr>
      <w:r>
        <w:rPr>
          <w:rFonts w:ascii="Aptos" w:hAnsi="Aptos"/>
          <w:b w:val="0"/>
          <w:i w:val="0"/>
        </w:rPr>
        <w:t>Item 9 has a software specification packet and system flow diagram, but the narrative must be refreshed against the current apps layout and the final receipt/e-journal/adjustment contracts.</w:t>
      </w:r>
    </w:p>
    <w:p>
      <w:pPr>
        <w:pStyle w:val="ListBullet"/>
      </w:pPr>
      <w:r>
        <w:rPr>
          <w:rFonts w:ascii="Aptos" w:hAnsi="Aptos"/>
          <w:b w:val="0"/>
          <w:i w:val="0"/>
        </w:rPr>
        <w:t>Item 10 has a VITE_APP_VERSION VersionBadge in the POS app and POS settings for software name/version. Login, home, and optional splash evidence must still be captured and linked.</w:t>
      </w:r>
    </w:p>
    <w:p>
      <w:pPr>
        <w:pStyle w:val="ListBullet"/>
      </w:pPr>
      <w:r>
        <w:rPr>
          <w:rFonts w:ascii="Aptos" w:hAnsi="Aptos"/>
          <w:b w:val="0"/>
          <w:i w:val="0"/>
        </w:rPr>
        <w:t>Item 11 has TerminalPage network-interface and API-reachability state plus online/offline behavior. The evidence pack must distinguish device network from backend reachability.</w:t>
      </w:r>
    </w:p>
    <w:p>
      <w:pPr>
        <w:pStyle w:val="ListBullet"/>
      </w:pPr>
      <w:r>
        <w:rPr>
          <w:rFonts w:ascii="Aptos" w:hAnsi="Aptos"/>
          <w:b w:val="0"/>
          <w:i w:val="0"/>
        </w:rPr>
        <w:t>Item 12 and Item 14 have existing software-specification and backup/DR documents. Their operational sign-off, freshness, drill evidence, and applicability still need a controlled gate.</w:t>
      </w:r>
    </w:p>
    <w:p>
      <w:pPr>
        <w:pStyle w:val="ListBullet"/>
      </w:pPr>
      <w:r>
        <w:rPr>
          <w:rFonts w:ascii="Aptos" w:hAnsi="Aptos"/>
          <w:b w:val="0"/>
          <w:i w:val="0"/>
        </w:rPr>
        <w:t>Item 13 has an audit log with timestamp, actor, action, entity, context, reason, request ID, and changes, with secret scrubbing. A print-ready filtered evidence export and coverage matrix are still required.</w:t>
      </w:r>
    </w:p>
    <w:p>
      <w:pPr>
        <w:pStyle w:val="Heading1"/>
      </w:pPr>
      <w:r>
        <w:t>Assumptions and Unknowns</w:t>
      </w:r>
    </w:p>
    <w:p>
      <w:pPr>
        <w:pStyle w:val="ListBullet"/>
      </w:pPr>
      <w:r>
        <w:rPr>
          <w:rFonts w:ascii="Aptos" w:hAnsi="Aptos"/>
          <w:b w:val="0"/>
          <w:i w:val="0"/>
        </w:rPr>
        <w:t>The root checkout is the implementation baseline. Earlier StagingPOS work is not treated as present here.</w:t>
      </w:r>
    </w:p>
    <w:p>
      <w:pPr>
        <w:pStyle w:val="ListBullet"/>
      </w:pPr>
      <w:r>
        <w:rPr>
          <w:rFonts w:ascii="Aptos" w:hAnsi="Aptos"/>
          <w:b w:val="0"/>
          <w:i w:val="0"/>
        </w:rPr>
        <w:t>The worktree is dirty; implementation must first isolate only planned files and must not reset or clean unrelated user changes.</w:t>
      </w:r>
    </w:p>
    <w:p>
      <w:pPr>
        <w:pStyle w:val="ListBullet"/>
      </w:pPr>
      <w:r>
        <w:rPr>
          <w:rFonts w:ascii="Aptos" w:hAnsi="Aptos"/>
          <w:b w:val="0"/>
          <w:i w:val="0"/>
        </w:rPr>
        <w:t>The final acceptance target is a local internal readiness pass plus a separate external BIR/TWG review status.</w:t>
      </w:r>
    </w:p>
    <w:p>
      <w:pPr>
        <w:pStyle w:val="ListBullet"/>
      </w:pPr>
      <w:r>
        <w:rPr>
          <w:rFonts w:ascii="Aptos" w:hAnsi="Aptos"/>
          <w:b w:val="0"/>
          <w:i w:val="0"/>
        </w:rPr>
        <w:t>The current tax wording and e-journal grammar cannot be finalized from the supplied checklist alone.</w:t>
      </w:r>
    </w:p>
    <w:p>
      <w:pPr>
        <w:pStyle w:val="Heading1"/>
      </w:pPr>
      <w:r>
        <w:t>Requirements Covered</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44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216"/>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Requirement</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FR-401</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Create a per-item baseline showing current behavior, gap, owner, and evidence output.</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BR-401</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 runtime control is not marked complete until its corresponding documentary evidence is generated and reviewed.</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BR-402</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Original fiscal records and historical snapshots remain unchanged when later settings or templates change.</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DATA-401</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Every sample is linked to stable fixture IDs, transaction IDs, report dates, version, and checksum.</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OPS-401</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Readiness status must distinguish local internal pass, external review pending, and blocked.</w:t>
            </w:r>
          </w:p>
        </w:tc>
      </w:tr>
    </w:tbl>
    <w:p>
      <w:pPr>
        <w:spacing w:after="40"/>
      </w:pPr>
    </w:p>
    <w:p>
      <w:pPr>
        <w:pStyle w:val="Heading1"/>
      </w:pPr>
      <w:r>
        <w:t>Plan Content</w:t>
      </w:r>
    </w:p>
    <w:p>
      <w:pPr>
        <w:pStyle w:val="Heading2"/>
      </w:pPr>
      <w:r>
        <w:t>Current flow</w:t>
      </w:r>
    </w:p>
    <w:p>
      <w:r>
        <w:rPr>
          <w:rFonts w:ascii="Aptos" w:hAnsi="Aptos"/>
          <w:b w:val="0"/>
          <w:i w:val="0"/>
        </w:rPr>
        <w:t>A POS sale enters the checkout use case in apps/dgfy-api/src/modules/pos/usecases/posUseCases.js. The repository persists the transaction and, for fiscal output, a server-owned document snapshot and hash. ReceiptPrintView.jsx and the shared @sieitzz/pos-receipt package render the explicit document contract. Fiscal print, void, reading, terminal-registration, and eSales actions add fiscal events. Business Admin and POS reports read transaction, adjustment, reading, audit, and eSales data through their existing repositories and routes.</w:t>
      </w:r>
    </w:p>
    <w:p>
      <w:r>
        <w:rPr>
          <w:rFonts w:ascii="Aptos" w:hAnsi="Aptos"/>
          <w:b w:val="0"/>
          <w:i w:val="0"/>
        </w:rPr>
        <w:t>The current flow is strong for internal control, but the Annex B submission layer is fragmented. Code tests, screenshots, hard-copy printouts, .txt exports, narratives, manuals, audit extracts, and DR drill records are not yet one controlled requirement/evidence graph.</w:t>
      </w:r>
    </w:p>
    <w:p>
      <w:pPr>
        <w:pStyle w:val="Heading2"/>
      </w:pPr>
      <w:r>
        <w:t>Current-state gap table</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72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Item</w:t>
            </w:r>
          </w:p>
        </w:tc>
        <w:tc>
          <w:tcPr>
            <w:tcW w:type="dxa" w:w="48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Confirmed internal support</w:t>
            </w:r>
          </w:p>
        </w:tc>
        <w:tc>
          <w:tcPr>
            <w:tcW w:type="dxa" w:w="511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Readiness gap</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4</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Receipt contract, fiscal snapshot/hash, shared renderer, statutory discount snapshots, service-charge fields.</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Scenario-complete sample pack and legal field review not proven.</w:t>
            </w:r>
          </w:p>
        </w:tc>
      </w:tr>
      <w:tr>
        <w:tc>
          <w:tcPr>
            <w:tcW w:type="dxa" w:w="72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5</w:t>
            </w:r>
          </w:p>
        </w:tc>
        <w:tc>
          <w:tcPr>
            <w:tcW w:type="dxa" w:w="48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Void, cash/external/provider refund routes and adjustment ledger.</w:t>
            </w:r>
          </w:p>
        </w:tc>
        <w:tc>
          <w:tcPr>
            <w:tcW w:type="dxa" w:w="51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Explicit return semantics and adjustment-document renderer/e-journal inclusion are not proven.</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6</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X-reading, Z-reading, immutable snapshot, day-close PIN and print use cases.</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Controlled samples, reconciliation proof, and evidence freshness not proven.</w:t>
            </w:r>
          </w:p>
        </w:tc>
      </w:tr>
      <w:tr>
        <w:tc>
          <w:tcPr>
            <w:tcW w:type="dxa" w:w="72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7</w:t>
            </w:r>
          </w:p>
        </w:tc>
        <w:tc>
          <w:tcPr>
            <w:tcW w:type="dxa" w:w="48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 registry, terminal reports, discount/refund/void data, compliance books package.</w:t>
            </w:r>
          </w:p>
        </w:tc>
        <w:tc>
          <w:tcPr>
            <w:tcW w:type="dxa" w:w="51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Complete report inventory and hard-copy sample set not proven.</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8</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Fiscal events, hashes, monthly eSales package, compliance final-review code.</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BIR grammar-locked receipt-complete .txt journal and hard-copy projection not confirmed.</w:t>
            </w:r>
          </w:p>
        </w:tc>
      </w:tr>
      <w:tr>
        <w:tc>
          <w:tcPr>
            <w:tcW w:type="dxa" w:w="72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9</w:t>
            </w:r>
          </w:p>
        </w:tc>
        <w:tc>
          <w:tcPr>
            <w:tcW w:type="dxa" w:w="48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Software specification packet and system flow diagram.</w:t>
            </w:r>
          </w:p>
        </w:tc>
        <w:tc>
          <w:tcPr>
            <w:tcW w:type="dxa" w:w="51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Narrative needs current-state refresh, versioning, and review status.</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10</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VersionBadge and software settings.</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Login/home/splash evidence pack and value consistency not proven.</w:t>
            </w:r>
          </w:p>
        </w:tc>
      </w:tr>
      <w:tr>
        <w:tc>
          <w:tcPr>
            <w:tcW w:type="dxa" w:w="72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11</w:t>
            </w:r>
          </w:p>
        </w:tc>
        <w:tc>
          <w:tcPr>
            <w:tcW w:type="dxa" w:w="48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TerminalPage network/API signals and offline queue rules.</w:t>
            </w:r>
          </w:p>
        </w:tc>
        <w:tc>
          <w:tcPr>
            <w:tcW w:type="dxa" w:w="51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Evidence must show true online/offline states and exact indicator semantics.</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12</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Existing operating/specification docs and device adapters.</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Applicability decision, operator manual, and machine/peripheral inventory need packaging.</w:t>
            </w:r>
          </w:p>
        </w:tc>
      </w:tr>
      <w:tr>
        <w:tc>
          <w:tcPr>
            <w:tcW w:type="dxa" w:w="72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13</w:t>
            </w:r>
          </w:p>
        </w:tc>
        <w:tc>
          <w:tcPr>
            <w:tcW w:type="dxa" w:w="48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AuditLog fields, query filters, secret scrubber, Business Admin audit table.</w:t>
            </w:r>
          </w:p>
        </w:tc>
        <w:tc>
          <w:tcPr>
            <w:tcW w:type="dxa" w:w="51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Print/export format and full activity/value coverage need proof.</w:t>
            </w:r>
          </w:p>
        </w:tc>
      </w:tr>
      <w:tr>
        <w:tc>
          <w:tcPr>
            <w:tcW w:type="dxa" w:w="72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14</w:t>
            </w:r>
          </w:p>
        </w:tc>
        <w:tc>
          <w:tcPr>
            <w:tcW w:type="dxa" w:w="48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DR plan, RPO/RTO, restore drill and encryption evidence references.</w:t>
            </w:r>
          </w:p>
        </w:tc>
        <w:tc>
          <w:tcPr>
            <w:tcW w:type="dxa" w:w="51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Fresh drill, sign-off, fiscal-record restore proof, and evidence linkage need gating.</w:t>
            </w:r>
          </w:p>
        </w:tc>
      </w:tr>
    </w:tbl>
    <w:p>
      <w:pPr>
        <w:spacing w:after="40"/>
      </w:pPr>
    </w:p>
    <w:p>
      <w:pPr>
        <w:pStyle w:val="Heading2"/>
      </w:pPr>
      <w:r>
        <w:t>Root cause</w:t>
      </w:r>
    </w:p>
    <w:p>
      <w:r>
        <w:rPr>
          <w:rFonts w:ascii="Aptos" w:hAnsi="Aptos"/>
          <w:b w:val="0"/>
          <w:i w:val="0"/>
        </w:rPr>
        <w:t>The main root cause is not that the POS has no compliance controls. The root cause is that product controls and documentary submission evidence have different owners, lifecycles, and acceptance rules, while the current readiness model covers only a subset of them. The implementation must add a governed Annex B evidence layer that consumes existing source-of-truth records rather than duplicating fiscal state.</w:t>
      </w:r>
    </w:p>
    <w:p>
      <w:pPr>
        <w:pStyle w:val="Heading2"/>
      </w:pPr>
      <w:r>
        <w:t>Scope</w:t>
      </w:r>
    </w:p>
    <w:p>
      <w:pPr>
        <w:pStyle w:val="ListBullet"/>
      </w:pPr>
      <w:r>
        <w:rPr>
          <w:rFonts w:ascii="Aptos" w:hAnsi="Aptos"/>
          <w:b w:val="0"/>
          <w:i w:val="0"/>
        </w:rPr>
        <w:t>In scope: Items 4 through 14, local runtime behavior where gaps exist, evidence generation, document and screenshot packaging, audit/export controls, local verification, and release/rollback gates.</w:t>
      </w:r>
    </w:p>
    <w:p>
      <w:pPr>
        <w:pStyle w:val="ListBullet"/>
      </w:pPr>
      <w:r>
        <w:rPr>
          <w:rFonts w:ascii="Aptos" w:hAnsi="Aptos"/>
          <w:b w:val="0"/>
          <w:i w:val="0"/>
        </w:rPr>
        <w:t>Out of scope: Annex B Items 1 through 3 and 15, legal opinions, BIR approval, eAccReg submission itself, provider contracts not present in the repository, and production deployment.</w:t>
      </w:r>
    </w:p>
    <w:p>
      <w:pPr>
        <w:pStyle w:val="ListBullet"/>
      </w:pPr>
      <w:r>
        <w:rPr>
          <w:rFonts w:ascii="Aptos" w:hAnsi="Aptos"/>
          <w:b w:val="0"/>
          <w:i w:val="0"/>
        </w:rPr>
        <w:t>Related but separate: final fiscal terminology and field review under the current tax source chain; official eSales submission acknowledgement; hardware procurement or printer certification.</w:t>
      </w:r>
    </w:p>
    <w:p>
      <w:pPr>
        <w:pStyle w:val="ListBullet"/>
      </w:pPr>
      <w:r>
        <w:rPr>
          <w:rFonts w:ascii="Aptos" w:hAnsi="Aptos"/>
          <w:b w:val="0"/>
          <w:i w:val="0"/>
        </w:rPr>
        <w:t>Future improvement: direct BIR/provider submission integration after the filing channel and security contract are approved.</w:t>
      </w:r>
    </w:p>
    <w:p>
      <w:pPr>
        <w:pStyle w:val="Heading1"/>
      </w:pPr>
      <w:r>
        <w:t>Affected System Components</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94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Classification</w:t>
            </w:r>
          </w:p>
        </w:tc>
        <w:tc>
          <w:tcPr>
            <w:tcW w:type="dxa" w:w="871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Components and expected treatment</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Direct</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apps/dgfy-api/src/modules/pos, reports, compliance, audit; packages/web-core/src/features/pos; apps/dgfy-pos; apps/dgfy-migration-runner.</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Indirect</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packages/pos-receipt, device bridge print adapters, settings, permissions, offline persistence, build/version stamping.</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Evidence</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docs/compliance/submission, docs/compliance/evidence, generated local evidence directory, final-review document storage.</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Not touched by planning</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No application files, migrations, phase ledger entries, branches, environments, credentials, or releases.</w:t>
            </w:r>
          </w:p>
        </w:tc>
      </w:tr>
    </w:tbl>
    <w:p>
      <w:pPr>
        <w:spacing w:after="40"/>
      </w:pPr>
    </w:p>
    <w:p>
      <w:pPr>
        <w:pStyle w:val="Heading1"/>
      </w:pPr>
      <w:r>
        <w:t>Risks and Mitigations</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00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ID</w:t>
            </w:r>
          </w:p>
        </w:tc>
        <w:tc>
          <w:tcPr>
            <w:tcW w:type="dxa" w:w="388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Risk</w:t>
            </w:r>
          </w:p>
        </w:tc>
        <w:tc>
          <w:tcPr>
            <w:tcW w:type="dxa" w:w="576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Mitigation</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R-010</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Return is incorrectly represented as void.</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Make return a first-class decision gate and preserve original document linkage.</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R-011</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Current docs say implemented while evidence is stale.</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Use evidence freshness and checksum requirements, not file existence alone.</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R-012</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Dirty worktree hides baseline changes.</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Freeze a clean implementation baseline before any build phase.</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R-013</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External legal source changes after coding.</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Keep fiscal field/grammar policy versioned and require source refresh before final evidence.</w:t>
            </w:r>
          </w:p>
        </w:tc>
      </w:tr>
    </w:tbl>
    <w:p>
      <w:pPr>
        <w:spacing w:after="40"/>
      </w:pPr>
    </w:p>
    <w:p>
      <w:pPr>
        <w:pStyle w:val="Heading1"/>
      </w:pPr>
      <w:r>
        <w:t>Tests Required</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Test ID</w:t>
            </w:r>
          </w:p>
        </w:tc>
        <w:tc>
          <w:tcPr>
            <w:tcW w:type="dxa" w:w="172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Type</w:t>
            </w:r>
          </w:p>
        </w:tc>
        <w:tc>
          <w:tcPr>
            <w:tcW w:type="dxa" w:w="770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Scenario and evidence</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TEST-410</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Repository inspection</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Verify each current-state claim against exact paths, models, routes, and tests.</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TEST-411</w:t>
            </w:r>
          </w:p>
        </w:tc>
        <w:tc>
          <w:tcPr>
            <w:tcW w:type="dxa" w:w="172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Gap audit</w:t>
            </w:r>
          </w:p>
        </w:tc>
        <w:tc>
          <w:tcPr>
            <w:tcW w:type="dxa" w:w="77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Run a dry-run Annex B readiness report and ensure unsupported claims are marked missing or external.</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TEST-412</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Historical integrity</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Prove current settings changes do not rewrite prior transaction snapshots or evidence.</w:t>
            </w:r>
          </w:p>
        </w:tc>
      </w:tr>
    </w:tbl>
    <w:p>
      <w:pPr>
        <w:spacing w:after="40"/>
      </w:pPr>
    </w:p>
    <w:p>
      <w:pPr>
        <w:pStyle w:val="Heading1"/>
      </w:pPr>
      <w:r>
        <w:t>Acceptance Criteria</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43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Measurable acceptance criterion</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AC-410</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baseline table covers every Item 4-14 row and identifies at least one confirmed implementation or an explicit gap.</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AC-411</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No current capability is called BIR-approved solely because a code path or document exists.</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AC-412</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implementation scope does not require staging access and explicitly preserves local-only verification.</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AC-413</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return gap is tracked as a P0/P1 decision before final Item 5 pass.</w:t>
            </w:r>
          </w:p>
        </w:tc>
      </w:tr>
    </w:tbl>
    <w:p>
      <w:pPr>
        <w:spacing w:after="40"/>
      </w:pPr>
    </w:p>
    <w:p>
      <w:pPr>
        <w:pStyle w:val="Heading1"/>
      </w:pPr>
      <w:r>
        <w:t>Execution Dependencies</w:t>
      </w:r>
    </w:p>
    <w:p>
      <w:pPr>
        <w:pStyle w:val="ListNumber"/>
      </w:pPr>
      <w:r>
        <w:rPr>
          <w:rFonts w:ascii="Aptos" w:hAnsi="Aptos"/>
          <w:b w:val="0"/>
          <w:i w:val="0"/>
        </w:rPr>
        <w:t>Read the source-lock findings before approving any receipt/e-journal field or grammar change.</w:t>
      </w:r>
    </w:p>
    <w:p>
      <w:pPr>
        <w:pStyle w:val="ListNumber"/>
      </w:pPr>
      <w:r>
        <w:rPr>
          <w:rFonts w:ascii="Aptos" w:hAnsi="Aptos"/>
          <w:b w:val="0"/>
          <w:i w:val="0"/>
        </w:rPr>
        <w:t>Create a clean implementation worktree or isolate path-scoped changes from the dirty root.</w:t>
      </w:r>
    </w:p>
    <w:p>
      <w:pPr>
        <w:pStyle w:val="ListNumber"/>
      </w:pPr>
      <w:r>
        <w:rPr>
          <w:rFonts w:ascii="Aptos" w:hAnsi="Aptos"/>
          <w:b w:val="0"/>
          <w:i w:val="0"/>
        </w:rPr>
        <w:t>Record current phase 352 status and reserve proposed Phase 353 without editing historical entries.</w:t>
      </w:r>
    </w:p>
    <w:p>
      <w:pPr>
        <w:pStyle w:val="ListNumber"/>
      </w:pPr>
      <w:r>
        <w:rPr>
          <w:rFonts w:ascii="Aptos" w:hAnsi="Aptos"/>
          <w:b w:val="0"/>
          <w:i w:val="0"/>
        </w:rPr>
        <w:t>Run existing targeted tests before changing behavior to establish a baseline.</w:t>
      </w:r>
    </w:p>
    <w:p>
      <w:pPr>
        <w:pStyle w:val="ListNumber"/>
      </w:pPr>
      <w:r>
        <w:rPr>
          <w:rFonts w:ascii="Aptos" w:hAnsi="Aptos"/>
          <w:b w:val="0"/>
          <w:i w:val="0"/>
        </w:rPr>
        <w:t>Use the gap table as the starting state for the evidence ledger.</w:t>
      </w:r>
    </w:p>
    <w:p>
      <w:pPr>
        <w:pStyle w:val="Heading1"/>
      </w:pPr>
      <w:r>
        <w:t>Cross References</w:t>
      </w:r>
    </w:p>
    <w:p>
      <w:pPr>
        <w:pStyle w:val="ListBullet"/>
      </w:pPr>
      <w:r>
        <w:rPr>
          <w:rFonts w:ascii="Aptos" w:hAnsi="Aptos"/>
          <w:b w:val="0"/>
          <w:i w:val="0"/>
        </w:rPr>
        <w:t>apps/dgfy-api/src/modules/pos/usecases/posUseCases.js; apps/dgfy-api/src/modules/pos/repositories/posRepository.js; apps/dgfy-api/src/routes/pos.js.</w:t>
      </w:r>
    </w:p>
    <w:p>
      <w:pPr>
        <w:pStyle w:val="ListBullet"/>
      </w:pPr>
      <w:r>
        <w:rPr>
          <w:rFonts w:ascii="Aptos" w:hAnsi="Aptos"/>
          <w:b w:val="0"/>
          <w:i w:val="0"/>
        </w:rPr>
        <w:t>packages/web-core/src/features/pos/components/ReceiptPrintView.jsx; packages/pos-receipt; packages/web-core/src/features/pos/pages/TerminalPage.jsx.</w:t>
      </w:r>
    </w:p>
    <w:p>
      <w:pPr>
        <w:pStyle w:val="ListBullet"/>
      </w:pPr>
      <w:r>
        <w:rPr>
          <w:rFonts w:ascii="Aptos" w:hAnsi="Aptos"/>
          <w:b w:val="0"/>
          <w:i w:val="0"/>
        </w:rPr>
        <w:t>apps/dgfy-api/src/models/PosTransactionAdjustment.js; PosFiscalEvent.js; PosFiscalPrintEvent.js; PosZReadingSnapshot.js; PosESalesReport.js.</w:t>
      </w:r>
    </w:p>
    <w:p>
      <w:pPr>
        <w:pStyle w:val="ListBullet"/>
      </w:pPr>
      <w:r>
        <w:rPr>
          <w:rFonts w:ascii="Aptos" w:hAnsi="Aptos"/>
          <w:b w:val="0"/>
          <w:i w:val="0"/>
        </w:rPr>
        <w:t>docs/compliance/rmo-24-2023-control-matrix.md; docs/compliance/evidence/open-controls-matrix.md; docs/compliance/evidence/residual-risk-closure-matrix.md.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b w:val="0"/>
        <w:i w:val="0"/>
        <w:color w:val="666666"/>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