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 Journal Reports and Evidence Exports</w:t>
      </w:r>
    </w:p>
    <w:p>
      <w:pPr>
        <w:spacing w:after="200"/>
      </w:pPr>
      <w:r>
        <w:rPr>
          <w:rFonts w:ascii="Aptos" w:hAnsi="Aptos"/>
          <w:b w:val="0"/>
          <w:i w:val="0"/>
          <w:color w:val="385A7A"/>
          <w:sz w:val="20"/>
        </w:rPr>
        <w:t>POS BIR Annex B Items 4 to 14 Readiness | Plan version 1.0 | Section 05</w:t>
      </w:r>
    </w:p>
    <w:tbl>
      <w:tblPr>
        <w:tblW w:type="auto" w:w="0"/>
        <w:jc w:val="left"/>
        <w:tblLayout w:type="autofit"/>
        <w:tblLook w:firstColumn="1" w:firstRow="1" w:lastColumn="0" w:lastRow="0" w:noHBand="0" w:noVBand="1" w:val="04A0"/>
      </w:tblPr>
      <w:tblGrid>
        <w:gridCol w:w="5040"/>
        <w:gridCol w:w="5040"/>
      </w:tblGrid>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Project name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POS BIR Annex B Items 4 to 14 Readiness</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Plan version</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1.0</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Repository baseline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C:\xampp\htdocs\POS-DGFY | branch feat/DGFY-343-2067-pos-workflow-consolidation | HEAD 786cd4e8329db1a65398ce6aa7eb020ffc8f3b28</w:t>
            </w:r>
          </w:p>
        </w:tc>
      </w:tr>
      <w:tr>
        <w:tc>
          <w:tcPr>
            <w:tcW w:type="dxa" w:w="2232"/>
            <w:shd w:fill="EAF1F7"/>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i w:val="0"/>
                <w:sz w:val="17"/>
              </w:rPr>
              <w:t>Planning mode</w:t>
            </w:r>
          </w:p>
        </w:tc>
        <w:tc>
          <w:tcPr>
            <w:tcW w:type="dxa" w:w="8424"/>
            <w:tcMar>
              <w:top w:w="100" w:type="dxa"/>
              <w:start w:w="120" w:type="dxa"/>
              <w:bottom w:w="100" w:type="dxa"/>
              <w:end w:w="120" w:type="dxa"/>
            </w:tcMar>
            <w:vAlign w:val="center"/>
            <w:tcBorders>
              <w:top w:val="single" w:sz="4" w:color="D9D9D9"/>
              <w:left w:val="single" w:sz="4" w:color="D9D9D9"/>
              <w:bottom w:val="single" w:sz="4" w:color="D9D9D9"/>
              <w:right w:val="single" w:sz="4" w:color="D9D9D9"/>
            </w:tcBorders>
          </w:tcPr>
          <w:p>
            <w:r>
              <w:rPr>
                <w:rFonts w:ascii="Aptos" w:hAnsi="Aptos"/>
                <w:b w:val="0"/>
                <w:i w:val="0"/>
                <w:sz w:val="17"/>
              </w:rPr>
              <w:t>Planning only. This artifact does not implement code, migrations, configuration, or release actions.</w:t>
            </w:r>
          </w:p>
        </w:tc>
      </w:tr>
    </w:tbl>
    <w:p/>
    <w:p>
      <w:pPr>
        <w:pStyle w:val="Heading1"/>
      </w:pPr>
      <w:r>
        <w:t>Purpose</w:t>
      </w:r>
    </w:p>
    <w:p>
      <w:r>
        <w:rPr>
          <w:rFonts w:ascii="Aptos" w:hAnsi="Aptos"/>
          <w:b w:val="0"/>
          <w:i w:val="0"/>
        </w:rPr>
        <w:t>Plan Items 7 and 8: the complete report inventory/sample pack and the receipt-complete e-journal soft/hard copy with deterministic export evidence.</w:t>
      </w:r>
    </w:p>
    <w:p>
      <w:pPr>
        <w:pStyle w:val="Heading1"/>
      </w:pPr>
      <w:r>
        <w:t>Dependencies</w:t>
      </w:r>
    </w:p>
    <w:p>
      <w:pPr>
        <w:pStyle w:val="ListBullet"/>
      </w:pPr>
      <w:r>
        <w:rPr>
          <w:rFonts w:ascii="Aptos" w:hAnsi="Aptos"/>
          <w:b w:val="0"/>
          <w:i w:val="0"/>
        </w:rPr>
        <w:t>Sections 00-04.</w:t>
      </w:r>
    </w:p>
    <w:p>
      <w:pPr>
        <w:pStyle w:val="ListBullet"/>
      </w:pPr>
      <w:r>
        <w:rPr>
          <w:rFonts w:ascii="Aptos" w:hAnsi="Aptos"/>
          <w:b w:val="0"/>
          <w:i w:val="0"/>
        </w:rPr>
        <w:t>Approved fiscal/e-journal grammar.</w:t>
      </w:r>
    </w:p>
    <w:p>
      <w:pPr>
        <w:pStyle w:val="ListBullet"/>
      </w:pPr>
      <w:r>
        <w:rPr>
          <w:rFonts w:ascii="Aptos" w:hAnsi="Aptos"/>
          <w:b w:val="0"/>
          <w:i w:val="0"/>
        </w:rPr>
        <w:t>Existing report registry, POS fiscal ledger, eSales package, and compliance final-review storage.</w:t>
      </w:r>
    </w:p>
    <w:p>
      <w:pPr>
        <w:pStyle w:val="Heading1"/>
      </w:pPr>
      <w:r>
        <w:t>Confirmed Facts</w:t>
      </w:r>
    </w:p>
    <w:p>
      <w:pPr>
        <w:pStyle w:val="ListBullet"/>
      </w:pPr>
      <w:r>
        <w:rPr>
          <w:rFonts w:ascii="Aptos" w:hAnsi="Aptos"/>
          <w:b w:val="0"/>
          <w:i w:val="0"/>
        </w:rPr>
        <w:t>The report registry includes terminal daily/monthly/yearly/comparison/profit-loss/attendance/cashier/register/handoff reports and business reports such as sales by terminal/branch/employee/item/category/payment, discounts, taxes/fees, refunds/voids, and compliance package.</w:t>
      </w:r>
    </w:p>
    <w:p>
      <w:pPr>
        <w:pStyle w:val="ListBullet"/>
      </w:pPr>
      <w:r>
        <w:rPr>
          <w:rFonts w:ascii="Aptos" w:hAnsi="Aptos"/>
          <w:b w:val="0"/>
          <w:i w:val="0"/>
        </w:rPr>
        <w:t>The current compliance package produces books-style data and checksum metadata, but it is not automatically the Annex B e-journal unless it satisfies the locked .txt record grammar and completeness rule.</w:t>
      </w:r>
    </w:p>
    <w:p>
      <w:pPr>
        <w:pStyle w:val="ListBullet"/>
      </w:pPr>
      <w:r>
        <w:rPr>
          <w:rFonts w:ascii="Aptos" w:hAnsi="Aptos"/>
          <w:b w:val="0"/>
          <w:i w:val="0"/>
        </w:rPr>
        <w:t>The fiscal runtime can list transactions for a month, generate eSales payload/hash, and record eSales lifecycle events.</w:t>
      </w:r>
    </w:p>
    <w:p>
      <w:pPr>
        <w:pStyle w:val="ListBullet"/>
      </w:pPr>
      <w:r>
        <w:rPr>
          <w:rFonts w:ascii="Aptos" w:hAnsi="Aptos"/>
          <w:b w:val="0"/>
          <w:i w:val="0"/>
        </w:rPr>
        <w:t>Business Admin fiscal workspace exposes current X readings, Z snapshots, and eSales rows as read-only evidence.</w:t>
      </w:r>
    </w:p>
    <w:p>
      <w:pPr>
        <w:pStyle w:val="Heading1"/>
      </w:pPr>
      <w:r>
        <w:t>Assumptions and Unknowns</w:t>
      </w:r>
    </w:p>
    <w:p>
      <w:pPr>
        <w:pStyle w:val="ListBullet"/>
      </w:pPr>
      <w:r>
        <w:rPr>
          <w:rFonts w:ascii="Aptos" w:hAnsi="Aptos"/>
          <w:b w:val="0"/>
          <w:i w:val="0"/>
        </w:rPr>
        <w:t>Item 8's exact .txt format will be recorded as a versioned policy/serializer contract, not guessed from the word 'txt'.</w:t>
      </w:r>
    </w:p>
    <w:p>
      <w:pPr>
        <w:pStyle w:val="ListBullet"/>
      </w:pPr>
      <w:r>
        <w:rPr>
          <w:rFonts w:ascii="Aptos" w:hAnsi="Aptos"/>
          <w:b w:val="0"/>
          <w:i w:val="0"/>
        </w:rPr>
        <w:t>The e-journal will include final issued records and applicable adjustments, while provisional offline records are excluded until replay/finalization.</w:t>
      </w:r>
    </w:p>
    <w:p>
      <w:pPr>
        <w:pStyle w:val="ListBullet"/>
      </w:pPr>
      <w:r>
        <w:rPr>
          <w:rFonts w:ascii="Aptos" w:hAnsi="Aptos"/>
          <w:b w:val="0"/>
          <w:i w:val="0"/>
        </w:rPr>
        <w:t>Report applicability is controlled by the filing target and supported DGFY capabilities; the catalog must show the reason for N/A.</w:t>
      </w:r>
    </w:p>
    <w:p>
      <w:pPr>
        <w:pStyle w:val="Heading1"/>
      </w:pPr>
      <w:r>
        <w:t>Requirements Covered</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44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ID</w:t>
            </w:r>
          </w:p>
        </w:tc>
        <w:tc>
          <w:tcPr>
            <w:tcW w:type="dxa" w:w="9216"/>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Requirement</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FR-404</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List every report the software can generate with owner, filters, source, format, and sample.</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FR-405</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Generate a receipt/invoice-complete .txt journal with applicable void/refund/return entries.</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REP-401</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Make output deterministic, bounded, checksummed, and reproducible.</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REP-402</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Reconcile journal/report totals to fiscal transactions, adjustments, readings, and events.</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DATA-404</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Store serializer version, source snapshot/version, record counts, hashes, and date/terminal scope.</w:t>
            </w:r>
          </w:p>
        </w:tc>
      </w:tr>
      <w:tr>
        <w:tc>
          <w:tcPr>
            <w:tcW w:type="dxa" w:w="144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SEC-404</w:t>
            </w:r>
          </w:p>
        </w:tc>
        <w:tc>
          <w:tcPr>
            <w:tcW w:type="dxa" w:w="92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Restrict exports and redact sensitive data according to evidence permissions.</w:t>
            </w:r>
          </w:p>
        </w:tc>
      </w:tr>
      <w:tr>
        <w:tc>
          <w:tcPr>
            <w:tcW w:type="dxa" w:w="144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AUD-401</w:t>
            </w:r>
          </w:p>
        </w:tc>
        <w:tc>
          <w:tcPr>
            <w:tcW w:type="dxa" w:w="92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Audit generation, download, review, and status changes.</w:t>
            </w:r>
          </w:p>
        </w:tc>
      </w:tr>
    </w:tbl>
    <w:p>
      <w:pPr>
        <w:spacing w:after="40"/>
      </w:pPr>
    </w:p>
    <w:p>
      <w:pPr>
        <w:pStyle w:val="Heading1"/>
      </w:pPr>
      <w:r>
        <w:t>Plan Content</w:t>
      </w:r>
    </w:p>
    <w:p>
      <w:pPr>
        <w:pStyle w:val="Heading2"/>
      </w:pPr>
      <w:r>
        <w:t>Item 7 report catalog</w:t>
      </w:r>
    </w:p>
    <w:p>
      <w:pPr>
        <w:pStyle w:val="ListNumber"/>
      </w:pPr>
      <w:r>
        <w:rPr>
          <w:rFonts w:ascii="Aptos" w:hAnsi="Aptos"/>
          <w:b w:val="0"/>
          <w:i w:val="0"/>
        </w:rPr>
        <w:t>Build a report applicability registry from the existing report registry and actual route/UI capabilities. Each row must identify report key, label, source of truth, owner, filters, timezone, export formats, retention, evidence sample path, and applicability decision.</w:t>
      </w:r>
    </w:p>
    <w:p>
      <w:pPr>
        <w:pStyle w:val="ListNumber"/>
      </w:pPr>
      <w:r>
        <w:rPr>
          <w:rFonts w:ascii="Aptos" w:hAnsi="Aptos"/>
          <w:b w:val="0"/>
          <w:i w:val="0"/>
        </w:rPr>
        <w:t>At minimum evaluate sales summary, discounts by statutory category, refunds/voids/adjustments, payment/tender, terminal/register, X/Z, eSales, inventory/stock where relevant, and audit activity. Do not claim a statutory report merely because a similar analytics report exists.</w:t>
      </w:r>
    </w:p>
    <w:p>
      <w:pPr>
        <w:pStyle w:val="ListNumber"/>
      </w:pPr>
      <w:r>
        <w:rPr>
          <w:rFonts w:ascii="Aptos" w:hAnsi="Aptos"/>
          <w:b w:val="0"/>
          <w:i w:val="0"/>
        </w:rPr>
        <w:t>Generate samples from deterministic fixtures, not live user data. Include the filter values and source revision in the manifest.</w:t>
      </w:r>
    </w:p>
    <w:p>
      <w:pPr>
        <w:pStyle w:val="ListNumber"/>
      </w:pPr>
      <w:r>
        <w:rPr>
          <w:rFonts w:ascii="Aptos" w:hAnsi="Aptos"/>
          <w:b w:val="0"/>
          <w:i w:val="0"/>
        </w:rPr>
        <w:t>Expose a read-only reviewer view in the POS-owned Business Admin surface or the existing compliance workspace; do not move the work to IMS.</w:t>
      </w:r>
    </w:p>
    <w:p>
      <w:pPr>
        <w:pStyle w:val="Heading2"/>
      </w:pPr>
      <w:r>
        <w:t>Item 8 e-journal contract</w:t>
      </w:r>
    </w:p>
    <w:p>
      <w:r>
        <w:rPr>
          <w:rFonts w:ascii="Aptos" w:hAnsi="Aptos"/>
          <w:b w:val="0"/>
          <w:i w:val="0"/>
        </w:rPr>
        <w:t>Introduce a versioned e-journal serializer owned by the compliance/reporting boundary and fed by immutable POS fiscal records. The serializer must define record types for issued receipts/invoices, original/reprint events where required, void/cancel, refund, and return records, plus header/footer or manifest records required by the locked external grammar.</w:t>
      </w:r>
    </w:p>
    <w:p>
      <w:r>
        <w:rPr>
          <w:rFonts w:ascii="Aptos" w:hAnsi="Aptos"/>
          <w:b w:val="0"/>
          <w:i w:val="0"/>
        </w:rPr>
        <w:t>The serializer must use stable ordering: tenant/facility/terminal scope, business date/time, fiscal event sequence, and adjustment sequence. It must not depend on mutable catalog names or current settings when an immutable snapshot exists.</w:t>
      </w:r>
    </w:p>
    <w:p>
      <w:r>
        <w:rPr>
          <w:rFonts w:ascii="Aptos" w:hAnsi="Aptos"/>
          <w:b w:val="0"/>
          <w:i w:val="0"/>
        </w:rPr>
        <w:t>Generate the raw .txt file, a hard-copy projection, a human-readable reconciliation summary, and a SHA-256 manifest. The hard-copy projection must show the source file name, serializer version, record count, date range, and checksum so the two representations can be tied together.</w:t>
      </w:r>
    </w:p>
    <w:p>
      <w:r>
        <w:rPr>
          <w:rFonts w:ascii="Aptos" w:hAnsi="Aptos"/>
          <w:b w:val="0"/>
          <w:i w:val="0"/>
        </w:rPr>
        <w:t>Before the final pass, run a completeness assertion: every qualifying fiscal transaction has exactly one journal issuance record, each applicable adjustment has one linked adjustment record, no provisional offline record is included, and no record is duplicated or silently dropped.</w:t>
      </w:r>
    </w:p>
    <w:p>
      <w:pPr>
        <w:pStyle w:val="Heading2"/>
      </w:pPr>
      <w:r>
        <w:t>Evidence package layout</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244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Artifact</w:t>
            </w:r>
          </w:p>
        </w:tc>
        <w:tc>
          <w:tcPr>
            <w:tcW w:type="dxa" w:w="3816"/>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Purpose</w:t>
            </w:r>
          </w:p>
        </w:tc>
        <w:tc>
          <w:tcPr>
            <w:tcW w:type="dxa" w:w="424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Minimum metadata</w:t>
            </w:r>
          </w:p>
        </w:tc>
      </w:tr>
      <w:tr>
        <w:tc>
          <w:tcPr>
            <w:tcW w:type="dxa" w:w="24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report-catalog.json</w:t>
            </w:r>
          </w:p>
        </w:tc>
        <w:tc>
          <w:tcPr>
            <w:tcW w:type="dxa" w:w="38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Item 7 list of generated reports and applicability decisions.</w:t>
            </w:r>
          </w:p>
        </w:tc>
        <w:tc>
          <w:tcPr>
            <w:tcW w:type="dxa" w:w="42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Report key, owner, source, filters, format, status, sample path, hash.</w:t>
            </w:r>
          </w:p>
        </w:tc>
      </w:tr>
      <w:tr>
        <w:tc>
          <w:tcPr>
            <w:tcW w:type="dxa" w:w="244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report-samples/</w:t>
            </w:r>
          </w:p>
        </w:tc>
        <w:tc>
          <w:tcPr>
            <w:tcW w:type="dxa" w:w="38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One sample print/export per applicable report.</w:t>
            </w:r>
          </w:p>
        </w:tc>
        <w:tc>
          <w:tcPr>
            <w:tcW w:type="dxa" w:w="424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Fixture/run ID, date range, timezone, generator version, checksum.</w:t>
            </w:r>
          </w:p>
        </w:tc>
      </w:tr>
      <w:tr>
        <w:tc>
          <w:tcPr>
            <w:tcW w:type="dxa" w:w="24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ejournal-YYYY-MM.txt</w:t>
            </w:r>
          </w:p>
        </w:tc>
        <w:tc>
          <w:tcPr>
            <w:tcW w:type="dxa" w:w="38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Item 8 raw soft-copy journal.</w:t>
            </w:r>
          </w:p>
        </w:tc>
        <w:tc>
          <w:tcPr>
            <w:tcW w:type="dxa" w:w="42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Serializer version, scope, record order, records, terminal/date metadata.</w:t>
            </w:r>
          </w:p>
        </w:tc>
      </w:tr>
      <w:tr>
        <w:tc>
          <w:tcPr>
            <w:tcW w:type="dxa" w:w="244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ejournal-YYYY-MM-print.pdf</w:t>
            </w:r>
          </w:p>
        </w:tc>
        <w:tc>
          <w:tcPr>
            <w:tcW w:type="dxa" w:w="38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Hard-copy projection of the same journal.</w:t>
            </w:r>
          </w:p>
        </w:tc>
        <w:tc>
          <w:tcPr>
            <w:tcW w:type="dxa" w:w="424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Source file/hash, record count, generation time, page count.</w:t>
            </w:r>
          </w:p>
        </w:tc>
      </w:tr>
      <w:tr>
        <w:tc>
          <w:tcPr>
            <w:tcW w:type="dxa" w:w="24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reconciliation.json</w:t>
            </w:r>
          </w:p>
        </w:tc>
        <w:tc>
          <w:tcPr>
            <w:tcW w:type="dxa" w:w="38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Cross-check source totals and counts.</w:t>
            </w:r>
          </w:p>
        </w:tc>
        <w:tc>
          <w:tcPr>
            <w:tcW w:type="dxa" w:w="42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Transactions, adjustments, X/Z, eSales, audit/event counts and differences.</w:t>
            </w:r>
          </w:p>
        </w:tc>
      </w:tr>
      <w:tr>
        <w:tc>
          <w:tcPr>
            <w:tcW w:type="dxa" w:w="244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manifest.json</w:t>
            </w:r>
          </w:p>
        </w:tc>
        <w:tc>
          <w:tcPr>
            <w:tcW w:type="dxa" w:w="3816"/>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Integrity and chain of custody.</w:t>
            </w:r>
          </w:p>
        </w:tc>
        <w:tc>
          <w:tcPr>
            <w:tcW w:type="dxa" w:w="424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Artifact paths, sizes, SHA-256 hashes, source revision, reviewer/status.</w:t>
            </w:r>
          </w:p>
        </w:tc>
      </w:tr>
      <w:tr>
        <w:tc>
          <w:tcPr>
            <w:tcW w:type="dxa" w:w="24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review-notes.docx</w:t>
            </w:r>
          </w:p>
        </w:tc>
        <w:tc>
          <w:tcPr>
            <w:tcW w:type="dxa" w:w="3816"/>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Internal and external review status.</w:t>
            </w:r>
          </w:p>
        </w:tc>
        <w:tc>
          <w:tcPr>
            <w:tcW w:type="dxa" w:w="424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Reviewer, date, finding, disposition, signature/status.</w:t>
            </w:r>
          </w:p>
        </w:tc>
      </w:tr>
    </w:tbl>
    <w:p>
      <w:pPr>
        <w:spacing w:after="40"/>
      </w:pPr>
    </w:p>
    <w:p>
      <w:pPr>
        <w:pStyle w:val="Heading2"/>
      </w:pPr>
      <w:r>
        <w:t>Data and API changes</w:t>
      </w:r>
    </w:p>
    <w:p>
      <w:pPr>
        <w:pStyle w:val="ListBullet"/>
      </w:pPr>
      <w:r>
        <w:rPr>
          <w:rFonts w:ascii="Aptos" w:hAnsi="Aptos"/>
          <w:b w:val="0"/>
          <w:i w:val="0"/>
        </w:rPr>
        <w:t>Reuse report registry and report dataset routes for Item 7; add a dedicated evidence/sample export contract rather than overloading analytics responses.</w:t>
      </w:r>
    </w:p>
    <w:p>
      <w:pPr>
        <w:pStyle w:val="ListBullet"/>
      </w:pPr>
      <w:r>
        <w:rPr>
          <w:rFonts w:ascii="Aptos" w:hAnsi="Aptos"/>
          <w:b w:val="0"/>
          <w:i w:val="0"/>
        </w:rPr>
        <w:t>Reuse PosFiscalEvent/PosESalesReport and existing compliance final-review documents for status and evidence references.</w:t>
      </w:r>
    </w:p>
    <w:p>
      <w:pPr>
        <w:pStyle w:val="ListBullet"/>
      </w:pPr>
      <w:r>
        <w:rPr>
          <w:rFonts w:ascii="Aptos" w:hAnsi="Aptos"/>
          <w:b w:val="0"/>
          <w:i w:val="0"/>
        </w:rPr>
        <w:t>If persistence is required for journal artifacts, extend final-review document metadata with artifact type, serializer version, source scope, record counts, checksum, and freshness rather than storing journal rows twice.</w:t>
      </w:r>
    </w:p>
    <w:p>
      <w:pPr>
        <w:pStyle w:val="ListBullet"/>
      </w:pPr>
      <w:r>
        <w:rPr>
          <w:rFonts w:ascii="Aptos" w:hAnsi="Aptos"/>
          <w:b w:val="0"/>
          <w:i w:val="0"/>
        </w:rPr>
        <w:t>Add a bounded export maximum and a paginated/background generation strategy for large date ranges. The user-facing UI must explain when generation is queued or rejected for size.</w:t>
      </w:r>
    </w:p>
    <w:p>
      <w:pPr>
        <w:pStyle w:val="Heading1"/>
      </w:pPr>
      <w:r>
        <w:t>Affected System Components</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94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Classification</w:t>
            </w:r>
          </w:p>
        </w:tc>
        <w:tc>
          <w:tcPr>
            <w:tcW w:type="dxa" w:w="871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Components and expected treatment</w:t>
            </w:r>
          </w:p>
        </w:tc>
      </w:tr>
      <w:tr>
        <w:tc>
          <w:tcPr>
            <w:tcW w:type="dxa" w:w="194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Direct</w:t>
            </w:r>
          </w:p>
        </w:tc>
        <w:tc>
          <w:tcPr>
            <w:tcW w:type="dxa" w:w="87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apps/dgfy-api/src/modules/reports, businessAdmin fiscal/report modules, POS fiscal repository/use cases, compliance final-review evidence.</w:t>
            </w:r>
          </w:p>
        </w:tc>
      </w:tr>
      <w:tr>
        <w:tc>
          <w:tcPr>
            <w:tcW w:type="dxa" w:w="194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Frontend</w:t>
            </w:r>
          </w:p>
        </w:tc>
        <w:tc>
          <w:tcPr>
            <w:tcW w:type="dxa" w:w="87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apps/dgfy-pos BusinessAdminPage and packages/web-core report/evidence panels; existing filter/date controls.</w:t>
            </w:r>
          </w:p>
        </w:tc>
      </w:tr>
      <w:tr>
        <w:tc>
          <w:tcPr>
            <w:tcW w:type="dxa" w:w="194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Data</w:t>
            </w:r>
          </w:p>
        </w:tc>
        <w:tc>
          <w:tcPr>
            <w:tcW w:type="dxa" w:w="871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PosTransaction snapshots, PosTransactionAdjustment, PosFiscalEvent, PosZReadingSnapshot, PosESalesReport, report read models.</w:t>
            </w:r>
          </w:p>
        </w:tc>
      </w:tr>
      <w:tr>
        <w:tc>
          <w:tcPr>
            <w:tcW w:type="dxa" w:w="194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Operational</w:t>
            </w:r>
          </w:p>
        </w:tc>
        <w:tc>
          <w:tcPr>
            <w:tcW w:type="dxa" w:w="871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Local generated evidence directory, retention, checksum verification, download audit, reviewer sign-off.</w:t>
            </w:r>
          </w:p>
        </w:tc>
      </w:tr>
    </w:tbl>
    <w:p>
      <w:pPr>
        <w:spacing w:after="40"/>
      </w:pPr>
    </w:p>
    <w:p>
      <w:pPr>
        <w:pStyle w:val="Heading1"/>
      </w:pPr>
      <w:r>
        <w:t>Risks and Mitigations</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100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ID</w:t>
            </w:r>
          </w:p>
        </w:tc>
        <w:tc>
          <w:tcPr>
            <w:tcW w:type="dxa" w:w="388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Risk</w:t>
            </w:r>
          </w:p>
        </w:tc>
        <w:tc>
          <w:tcPr>
            <w:tcW w:type="dxa" w:w="5760"/>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Mitigation</w:t>
            </w:r>
          </w:p>
        </w:tc>
      </w:tr>
      <w:tr>
        <w:tc>
          <w:tcPr>
            <w:tcW w:type="dxa" w:w="100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R-050</w:t>
            </w:r>
          </w:p>
        </w:tc>
        <w:tc>
          <w:tcPr>
            <w:tcW w:type="dxa" w:w="388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Books package is incorrectly labeled e-journal.</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Separate format-specific e-journal serializer and completeness gate.</w:t>
            </w:r>
          </w:p>
        </w:tc>
      </w:tr>
      <w:tr>
        <w:tc>
          <w:tcPr>
            <w:tcW w:type="dxa" w:w="100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R-051</w:t>
            </w:r>
          </w:p>
        </w:tc>
        <w:tc>
          <w:tcPr>
            <w:tcW w:type="dxa" w:w="388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Large export times out or exposes too much data.</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Bound date/record ranges, permission-check, stream or background generation, audit downloads.</w:t>
            </w:r>
          </w:p>
        </w:tc>
      </w:tr>
      <w:tr>
        <w:tc>
          <w:tcPr>
            <w:tcW w:type="dxa" w:w="100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R-052</w:t>
            </w:r>
          </w:p>
        </w:tc>
        <w:tc>
          <w:tcPr>
            <w:tcW w:type="dxa" w:w="388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Journal records are duplicated or missing adjustments.</w:t>
            </w:r>
          </w:p>
        </w:tc>
        <w:tc>
          <w:tcPr>
            <w:tcW w:type="dxa" w:w="5760"/>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Count reconciliation and one-to-one source mapping tests.</w:t>
            </w:r>
          </w:p>
        </w:tc>
      </w:tr>
      <w:tr>
        <w:tc>
          <w:tcPr>
            <w:tcW w:type="dxa" w:w="100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R-053</w:t>
            </w:r>
          </w:p>
        </w:tc>
        <w:tc>
          <w:tcPr>
            <w:tcW w:type="dxa" w:w="388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Report samples use current settings rather than historical snapshots.</w:t>
            </w:r>
          </w:p>
        </w:tc>
        <w:tc>
          <w:tcPr>
            <w:tcW w:type="dxa" w:w="5760"/>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Snapshot source selection and historical-value tests.</w:t>
            </w:r>
          </w:p>
        </w:tc>
      </w:tr>
    </w:tbl>
    <w:p>
      <w:pPr>
        <w:spacing w:after="40"/>
      </w:pPr>
    </w:p>
    <w:p>
      <w:pPr>
        <w:pStyle w:val="Heading1"/>
      </w:pPr>
      <w:r>
        <w:t>Tests Required</w:t>
      </w:r>
    </w:p>
    <w:tbl>
      <w:tblPr>
        <w:tblW w:type="auto" w:w="0"/>
        <w:jc w:val="left"/>
        <w:tblLayout w:type="autofit"/>
        <w:tblLook w:firstColumn="1" w:firstRow="1" w:lastColumn="0" w:lastRow="0" w:noHBand="0" w:noVBand="1" w:val="04A0"/>
      </w:tblPr>
      <w:tblGrid>
        <w:gridCol w:w="3360"/>
        <w:gridCol w:w="3360"/>
        <w:gridCol w:w="3360"/>
      </w:tblGrid>
      <w:tr>
        <w:trPr>
          <w:tblHeader w:val="true"/>
        </w:trPr>
        <w:tc>
          <w:tcPr>
            <w:tcW w:type="dxa" w:w="122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Test ID</w:t>
            </w:r>
          </w:p>
        </w:tc>
        <w:tc>
          <w:tcPr>
            <w:tcW w:type="dxa" w:w="1728"/>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Type</w:t>
            </w:r>
          </w:p>
        </w:tc>
        <w:tc>
          <w:tcPr>
            <w:tcW w:type="dxa" w:w="770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5"/>
              </w:rPr>
              <w:t>Scenario and evidence</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TEST-450</w:t>
            </w:r>
          </w:p>
        </w:tc>
        <w:tc>
          <w:tcPr>
            <w:tcW w:type="dxa" w:w="172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Registry</w:t>
            </w:r>
          </w:p>
        </w:tc>
        <w:tc>
          <w:tcPr>
            <w:tcW w:type="dxa" w:w="77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Report registry inventory equals the actual exposed report definitions/routes and records N/A rationale for exceptions.</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TEST-451</w:t>
            </w:r>
          </w:p>
        </w:tc>
        <w:tc>
          <w:tcPr>
            <w:tcW w:type="dxa" w:w="172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Journal completeness</w:t>
            </w:r>
          </w:p>
        </w:tc>
        <w:tc>
          <w:tcPr>
            <w:tcW w:type="dxa" w:w="77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Fixture source count equals journal issuance plus adjustment count, with no duplicates.</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TEST-452</w:t>
            </w:r>
          </w:p>
        </w:tc>
        <w:tc>
          <w:tcPr>
            <w:tcW w:type="dxa" w:w="172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Determinism</w:t>
            </w:r>
          </w:p>
        </w:tc>
        <w:tc>
          <w:tcPr>
            <w:tcW w:type="dxa" w:w="77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Same immutable source scope produces byte-identical .txt, hard-copy projection metadata, and hash.</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TEST-453</w:t>
            </w:r>
          </w:p>
        </w:tc>
        <w:tc>
          <w:tcPr>
            <w:tcW w:type="dxa" w:w="172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Reconciliation</w:t>
            </w:r>
          </w:p>
        </w:tc>
        <w:tc>
          <w:tcPr>
            <w:tcW w:type="dxa" w:w="77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Journal totals reconcile to transactions, adjustments, X/Z, eSales, and fiscal event ledger.</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TEST-454</w:t>
            </w:r>
          </w:p>
        </w:tc>
        <w:tc>
          <w:tcPr>
            <w:tcW w:type="dxa" w:w="1728"/>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Security</w:t>
            </w:r>
          </w:p>
        </w:tc>
        <w:tc>
          <w:tcPr>
            <w:tcW w:type="dxa" w:w="770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Unauthorized user, other tenant, other branch, over-limit, and sensitive export attempts are denied or bounded.</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TEST-455</w:t>
            </w:r>
          </w:p>
        </w:tc>
        <w:tc>
          <w:tcPr>
            <w:tcW w:type="dxa" w:w="1728"/>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Failure</w:t>
            </w:r>
          </w:p>
        </w:tc>
        <w:tc>
          <w:tcPr>
            <w:tcW w:type="dxa" w:w="770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5"/>
              </w:rPr>
              <w:t>Interrupted generation leaves no partial 'complete' artifact and can be safely retried.</w:t>
            </w:r>
          </w:p>
        </w:tc>
      </w:tr>
    </w:tbl>
    <w:p>
      <w:pPr>
        <w:spacing w:after="40"/>
      </w:pPr>
    </w:p>
    <w:p>
      <w:pPr>
        <w:pStyle w:val="Heading1"/>
      </w:pPr>
      <w:r>
        <w:t>Acceptance Criteria</w:t>
      </w:r>
    </w:p>
    <w:tbl>
      <w:tblPr>
        <w:tblW w:type="auto" w:w="0"/>
        <w:jc w:val="left"/>
        <w:tblLayout w:type="autofit"/>
        <w:tblLook w:firstColumn="1" w:firstRow="1" w:lastColumn="0" w:lastRow="0" w:noHBand="0" w:noVBand="1" w:val="04A0"/>
      </w:tblPr>
      <w:tblGrid>
        <w:gridCol w:w="5040"/>
        <w:gridCol w:w="5040"/>
      </w:tblGrid>
      <w:tr>
        <w:trPr>
          <w:tblHeader w:val="true"/>
        </w:trPr>
        <w:tc>
          <w:tcPr>
            <w:tcW w:type="dxa" w:w="1224"/>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ID</w:t>
            </w:r>
          </w:p>
        </w:tc>
        <w:tc>
          <w:tcPr>
            <w:tcW w:type="dxa" w:w="9432"/>
            <w:shd w:fill="315B7D"/>
            <w:vAlign w:val="center"/>
            <w:tcMar>
              <w:top w:w="120" w:type="dxa"/>
              <w:start w:w="100" w:type="dxa"/>
              <w:bottom w:w="120" w:type="dxa"/>
              <w:end w:w="100" w:type="dxa"/>
            </w:tcMar>
            <w:tcBorders>
              <w:top w:val="single" w:sz="5" w:color="D9D9D9"/>
              <w:left w:val="single" w:sz="5" w:color="D9D9D9"/>
              <w:bottom w:val="single" w:sz="5" w:color="D9D9D9"/>
              <w:right w:val="single" w:sz="5" w:color="D9D9D9"/>
            </w:tcBorders>
          </w:tcPr>
          <w:p>
            <w:r>
              <w:rPr>
                <w:rFonts w:ascii="Aptos" w:hAnsi="Aptos"/>
                <w:b/>
                <w:i w:val="0"/>
                <w:color w:val="FFFFFF"/>
                <w:sz w:val="16"/>
              </w:rPr>
              <w:t>Measurable acceptance criterion</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AC-450</w:t>
            </w:r>
          </w:p>
        </w:tc>
        <w:tc>
          <w:tcPr>
            <w:tcW w:type="dxa" w:w="943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Every applicable Item 7 report has a catalog row and sample output with a checksum.</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AC-451</w:t>
            </w:r>
          </w:p>
        </w:tc>
        <w:tc>
          <w:tcPr>
            <w:tcW w:type="dxa" w:w="943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The Item 8 raw .txt journal contains every qualifying issued receipt/invoice and applicable adjustment exactly once.</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AC-452</w:t>
            </w:r>
          </w:p>
        </w:tc>
        <w:tc>
          <w:tcPr>
            <w:tcW w:type="dxa" w:w="943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The hard-copy projection is provably the same journal through source hash, serializer version, and record count.</w:t>
            </w:r>
          </w:p>
        </w:tc>
      </w:tr>
      <w:tr>
        <w:tc>
          <w:tcPr>
            <w:tcW w:type="dxa" w:w="1224"/>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AC-453</w:t>
            </w:r>
          </w:p>
        </w:tc>
        <w:tc>
          <w:tcPr>
            <w:tcW w:type="dxa" w:w="9432"/>
            <w:shd w:fill="F5F8FA"/>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 mismatch in counts, totals, source snapshots, or hashes blocks evidence-package completion.</w:t>
            </w:r>
          </w:p>
        </w:tc>
      </w:tr>
      <w:tr>
        <w:tc>
          <w:tcPr>
            <w:tcW w:type="dxa" w:w="1224"/>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AC-454</w:t>
            </w:r>
          </w:p>
        </w:tc>
        <w:tc>
          <w:tcPr>
            <w:tcW w:type="dxa" w:w="9432"/>
            <w:shd w:fill="FFFFFF"/>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tcPr>
          <w:p>
            <w:pPr>
              <w:spacing w:after="20"/>
            </w:pPr>
            <w:r>
              <w:rPr>
                <w:rFonts w:ascii="Aptos" w:hAnsi="Aptos"/>
                <w:b w:val="0"/>
                <w:i w:val="0"/>
                <w:sz w:val="16"/>
              </w:rPr>
              <w:t>Export permissions, tenant/location scope, size limits, and download audits pass automated tests.</w:t>
            </w:r>
          </w:p>
        </w:tc>
      </w:tr>
    </w:tbl>
    <w:p>
      <w:pPr>
        <w:spacing w:after="40"/>
      </w:pPr>
    </w:p>
    <w:p>
      <w:pPr>
        <w:pStyle w:val="Heading1"/>
      </w:pPr>
      <w:r>
        <w:t>Execution Dependencies</w:t>
      </w:r>
    </w:p>
    <w:p>
      <w:pPr>
        <w:pStyle w:val="ListNumber"/>
      </w:pPr>
      <w:r>
        <w:rPr>
          <w:rFonts w:ascii="Aptos" w:hAnsi="Aptos"/>
          <w:b w:val="0"/>
          <w:i w:val="0"/>
        </w:rPr>
        <w:t>Lock the external e-journal grammar and record applicability.</w:t>
      </w:r>
    </w:p>
    <w:p>
      <w:pPr>
        <w:pStyle w:val="ListNumber"/>
      </w:pPr>
      <w:r>
        <w:rPr>
          <w:rFonts w:ascii="Aptos" w:hAnsi="Aptos"/>
          <w:b w:val="0"/>
          <w:i w:val="0"/>
        </w:rPr>
        <w:t>Implement the report/e-journal domain serializer and source queries.</w:t>
      </w:r>
    </w:p>
    <w:p>
      <w:pPr>
        <w:pStyle w:val="ListNumber"/>
      </w:pPr>
      <w:r>
        <w:rPr>
          <w:rFonts w:ascii="Aptos" w:hAnsi="Aptos"/>
          <w:b w:val="0"/>
          <w:i w:val="0"/>
        </w:rPr>
        <w:t>Add manifest and evidence storage metadata.</w:t>
      </w:r>
    </w:p>
    <w:p>
      <w:pPr>
        <w:pStyle w:val="ListNumber"/>
      </w:pPr>
      <w:r>
        <w:rPr>
          <w:rFonts w:ascii="Aptos" w:hAnsi="Aptos"/>
          <w:b w:val="0"/>
          <w:i w:val="0"/>
        </w:rPr>
        <w:t>Add UI and bounded export behavior.</w:t>
      </w:r>
    </w:p>
    <w:p>
      <w:pPr>
        <w:pStyle w:val="ListNumber"/>
      </w:pPr>
      <w:r>
        <w:rPr>
          <w:rFonts w:ascii="Aptos" w:hAnsi="Aptos"/>
          <w:b w:val="0"/>
          <w:i w:val="0"/>
        </w:rPr>
        <w:t>Run completeness/reconciliation/security tests and capture the evidence pack.</w:t>
      </w:r>
    </w:p>
    <w:p>
      <w:pPr>
        <w:pStyle w:val="Heading1"/>
      </w:pPr>
      <w:r>
        <w:t>Cross References</w:t>
      </w:r>
    </w:p>
    <w:p>
      <w:pPr>
        <w:pStyle w:val="ListBullet"/>
      </w:pPr>
      <w:r>
        <w:rPr>
          <w:rFonts w:ascii="Aptos" w:hAnsi="Aptos"/>
          <w:b w:val="0"/>
          <w:i w:val="0"/>
        </w:rPr>
        <w:t>apps/dgfy-api/src/modules/reports/domain/reportRegistry.js; apps/dgfy-api/src/services/reportService.js; apps/dgfy-api/src/modules/businessAdmin/repositories/businessAdminFiscalRepository.js.</w:t>
      </w:r>
    </w:p>
    <w:p>
      <w:pPr>
        <w:pStyle w:val="ListBullet"/>
      </w:pPr>
      <w:r>
        <w:rPr>
          <w:rFonts w:ascii="Aptos" w:hAnsi="Aptos"/>
          <w:b w:val="0"/>
          <w:i w:val="0"/>
        </w:rPr>
        <w:t>apps/dgfy-api/src/modules/pos/usecases/posUseCases.js; apps/dgfy-api/src/modules/pos/repositories/posRepository.js.</w:t>
      </w:r>
    </w:p>
    <w:p>
      <w:pPr>
        <w:pStyle w:val="ListBullet"/>
      </w:pPr>
      <w:r>
        <w:rPr>
          <w:rFonts w:ascii="Aptos" w:hAnsi="Aptos"/>
          <w:b w:val="0"/>
          <w:i w:val="0"/>
        </w:rPr>
        <w:t>apps/dgfy-pos/src/features/businessAdmin/BusinessAdminPage.jsx; packages/web-core/src/features/pos/components/PosReportsAnalyticsWorkspace.jsx.</w:t>
      </w:r>
    </w:p>
    <w:p>
      <w:pPr>
        <w:pStyle w:val="ListBullet"/>
      </w:pPr>
      <w:r>
        <w:rPr>
          <w:rFonts w:ascii="Aptos" w:hAnsi="Aptos"/>
          <w:b w:val="0"/>
          <w:i w:val="0"/>
        </w:rPr>
        <w:t>docs/compliance/submission/filing-instructions.md; docs/compliance/rmo-24-2023-control-matrix.md.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b w:val="0"/>
        <w:i w:val="0"/>
        <w:color w:val="666666"/>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