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color w:val="000000"/>
          <w:sz w:val="38"/>
        </w:rPr>
        <w:t>EXECUTION REPORT — SECTION 03</w:t>
      </w:r>
    </w:p>
    <w:p>
      <w:pPr>
        <w:spacing w:after="240"/>
        <w:jc w:val="center"/>
      </w:pPr>
      <w:r>
        <w:rPr>
          <w:b/>
          <w:color w:val="1F4E79"/>
          <w:sz w:val="26"/>
        </w:rPr>
        <w:t>Current and Target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9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Approved plan</w:t>
            </w:r>
          </w:p>
        </w:tc>
        <w:tc>
          <w:tcPr>
            <w:tcW w:type="dxa" w:w="69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03_Current_and_Target_Architecture.docx</w:t>
            </w:r>
          </w:p>
        </w:tc>
      </w:tr>
      <w:tr>
        <w:tc>
          <w:tcPr>
            <w:tcW w:type="dxa" w:w="288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Initiative / phase</w:t>
            </w:r>
          </w:p>
        </w:tc>
        <w:tc>
          <w:tcPr>
            <w:tcW w:type="dxa" w:w="69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POS BIR Annex B Items 4–14 / Phase 353</w:t>
            </w:r>
          </w:p>
        </w:tc>
      </w:tr>
      <w:tr>
        <w:tc>
          <w:tcPr>
            <w:tcW w:type="dxa" w:w="288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Execution mode</w:t>
            </w:r>
          </w:p>
        </w:tc>
        <w:tc>
          <w:tcPr>
            <w:tcW w:type="dxa" w:w="69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LOCAL_ONLY</w:t>
            </w:r>
          </w:p>
        </w:tc>
      </w:tr>
      <w:tr>
        <w:tc>
          <w:tcPr>
            <w:tcW w:type="dxa" w:w="288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External approval claim</w:t>
            </w:r>
          </w:p>
        </w:tc>
        <w:tc>
          <w:tcPr>
            <w:tcW w:type="dxa" w:w="69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NOT_CLAIMED</w:t>
            </w:r>
          </w:p>
        </w:tc>
      </w:tr>
      <w:tr>
        <w:tc>
          <w:tcPr>
            <w:tcW w:type="dxa" w:w="288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Section status</w:t>
            </w:r>
          </w:p>
        </w:tc>
        <w:tc>
          <w:tcPr>
            <w:tcW w:type="dxa" w:w="69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IMPLEMENTATION COMPLETE — VERIFIED WITH DOCUMENTED NON-BLOCKING RISKS</w:t>
            </w:r>
          </w:p>
        </w:tc>
      </w:tr>
      <w:tr>
        <w:tc>
          <w:tcPr>
            <w:tcW w:type="dxa" w:w="288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Runtime status</w:t>
            </w:r>
          </w:p>
        </w:tc>
        <w:tc>
          <w:tcPr>
            <w:tcW w:type="dxa" w:w="69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DEFERRED BY PLAN; runtime phases begin at Phase 354</w:t>
            </w:r>
          </w:p>
        </w:tc>
      </w:tr>
      <w:tr>
        <w:tc>
          <w:tcPr>
            <w:tcW w:type="dxa" w:w="288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Execution date</w:t>
            </w:r>
          </w:p>
        </w:tc>
        <w:tc>
          <w:tcPr>
            <w:tcW w:type="dxa" w:w="69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2026-10-03 (Asia/Shanghai)</w:t>
            </w:r>
          </w:p>
        </w:tc>
      </w:tr>
    </w:tbl>
    <w:p/>
    <w:p>
      <w:pPr>
        <w:pStyle w:val="Heading1"/>
        <w:spacing w:before="160" w:after="80"/>
      </w:pPr>
      <w:r>
        <w:t>1. Executive result</w:t>
      </w:r>
    </w:p>
    <w:p>
      <w:r>
        <w:t>The approved Section 03 architecture scope is implemented as a checksum-bound architecture contract, human-readable control record, and independent negative-path validator. The contract preserves the existing routes → controllers → usecases → repositories → models boundary, identifies authoritative fiscal sources, and prevents an evidence layer from becoming a second fiscal ledger.</w:t>
      </w:r>
    </w:p>
    <w:p>
      <w:r>
        <w:t>This report records internal BIR-readiness engineering evidence only. It does not claim BIR, provider, tax-practitioner, TWG, eAccReg, PTU, ATG, or eSales approval.</w:t>
      </w:r>
    </w:p>
    <w:p>
      <w:pPr>
        <w:pStyle w:val="Heading1"/>
        <w:spacing w:before="160" w:after="80"/>
      </w:pPr>
      <w:r>
        <w:t>2. Approved requirements and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1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03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Required architecture control</w:t>
            </w:r>
          </w:p>
        </w:tc>
        <w:tc>
          <w:tcPr>
            <w:tcW w:type="dxa" w:w="345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Section 03 outcome</w:t>
            </w:r>
          </w:p>
        </w:tc>
        <w:tc>
          <w:tcPr>
            <w:tcW w:type="dxa" w:w="144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Later runtime</w:t>
            </w:r>
          </w:p>
        </w:tc>
      </w:tr>
      <w:tr>
        <w:tc>
          <w:tcPr>
            <w:tcW w:type="dxa" w:w="11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BR-401</w:t>
            </w:r>
          </w:p>
        </w:tc>
        <w:tc>
          <w:tcPr>
            <w:tcW w:type="dxa" w:w="403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One authoritative source for fiscal transactions, adjustments, readings, reports, and audit evidence.</w:t>
            </w:r>
          </w:p>
        </w:tc>
        <w:tc>
          <w:tcPr>
            <w:tcW w:type="dxa" w:w="345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Implemented in source map and ownership contract.</w:t>
            </w:r>
          </w:p>
        </w:tc>
        <w:tc>
          <w:tcPr>
            <w:tcW w:type="dxa" w:w="144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Deferred by plan</w:t>
            </w:r>
          </w:p>
        </w:tc>
      </w:tr>
      <w:tr>
        <w:tc>
          <w:tcPr>
            <w:tcW w:type="dxa" w:w="11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BR-402</w:t>
            </w:r>
          </w:p>
        </w:tc>
        <w:tc>
          <w:tcPr>
            <w:tcW w:type="dxa" w:w="403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Evidence generation is read-only against fiscal source records.</w:t>
            </w:r>
          </w:p>
        </w:tc>
        <w:tc>
          <w:tcPr>
            <w:tcW w:type="dxa" w:w="345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Implemented in guardrails and final-review boundary.</w:t>
            </w:r>
          </w:p>
        </w:tc>
        <w:tc>
          <w:tcPr>
            <w:tcW w:type="dxa" w:w="144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Deferred by plan</w:t>
            </w:r>
          </w:p>
        </w:tc>
      </w:tr>
      <w:tr>
        <w:tc>
          <w:tcPr>
            <w:tcW w:type="dxa" w:w="11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DATA-401</w:t>
            </w:r>
          </w:p>
        </w:tc>
        <w:tc>
          <w:tcPr>
            <w:tcW w:type="dxa" w:w="403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Historical snapshots preserve the issued document and source version.</w:t>
            </w:r>
          </w:p>
        </w:tc>
        <w:tc>
          <w:tcPr>
            <w:tcW w:type="dxa" w:w="345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Implemented in source-of-truth and determinism contract.</w:t>
            </w:r>
          </w:p>
        </w:tc>
        <w:tc>
          <w:tcPr>
            <w:tcW w:type="dxa" w:w="144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Deferred by plan</w:t>
            </w:r>
          </w:p>
        </w:tc>
      </w:tr>
      <w:tr>
        <w:tc>
          <w:tcPr>
            <w:tcW w:type="dxa" w:w="11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SEC-401</w:t>
            </w:r>
          </w:p>
        </w:tc>
        <w:tc>
          <w:tcPr>
            <w:tcW w:type="dxa" w:w="403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Reads/exports are tenant-, location-, and permission-scoped.</w:t>
            </w:r>
          </w:p>
        </w:tc>
        <w:tc>
          <w:tcPr>
            <w:tcW w:type="dxa" w:w="345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Implemented in surface and route contracts.</w:t>
            </w:r>
          </w:p>
        </w:tc>
        <w:tc>
          <w:tcPr>
            <w:tcW w:type="dxa" w:w="144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Deferred by plan</w:t>
            </w:r>
          </w:p>
        </w:tc>
      </w:tr>
      <w:tr>
        <w:tc>
          <w:tcPr>
            <w:tcW w:type="dxa" w:w="11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NFR-401</w:t>
            </w:r>
          </w:p>
        </w:tc>
        <w:tc>
          <w:tcPr>
            <w:tcW w:type="dxa" w:w="403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Same source/policy/serializer versions produce identical bytes, order, and checksum.</w:t>
            </w:r>
          </w:p>
        </w:tc>
        <w:tc>
          <w:tcPr>
            <w:tcW w:type="dxa" w:w="345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Implemented as explicit serializer contract.</w:t>
            </w:r>
          </w:p>
        </w:tc>
        <w:tc>
          <w:tcPr>
            <w:tcW w:type="dxa" w:w="144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Deferred by plan</w:t>
            </w:r>
          </w:p>
        </w:tc>
      </w:tr>
      <w:tr>
        <w:tc>
          <w:tcPr>
            <w:tcW w:type="dxa" w:w="11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ADR-401</w:t>
            </w:r>
          </w:p>
        </w:tc>
        <w:tc>
          <w:tcPr>
            <w:tcW w:type="dxa" w:w="403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Fiscal contract changes follow ADR 0039/0042 review.</w:t>
            </w:r>
          </w:p>
        </w:tc>
        <w:tc>
          <w:tcPr>
            <w:tcW w:type="dxa" w:w="345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Implemented as explicit impact gate.</w:t>
            </w:r>
          </w:p>
        </w:tc>
        <w:tc>
          <w:tcPr>
            <w:tcW w:type="dxa" w:w="144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Deferred by plan</w:t>
            </w:r>
          </w:p>
        </w:tc>
      </w:tr>
    </w:tbl>
    <w:p/>
    <w:p>
      <w:pPr>
        <w:pStyle w:val="Heading1"/>
        <w:spacing w:before="160" w:after="80"/>
      </w:pPr>
      <w:r>
        <w:t>3. Architecture implemented</w:t>
      </w:r>
    </w:p>
    <w:p>
      <w:pPr>
        <w:spacing w:after="40"/>
      </w:pPr>
      <w:r>
        <w:rPr>
          <w:b/>
        </w:rPr>
        <w:t xml:space="preserve">Current layered flow: </w:t>
      </w:r>
      <w:r>
        <w:t>routes → controllers → usecases → repositories → models</w:t>
      </w:r>
    </w:p>
    <w:p>
      <w:pPr>
        <w:spacing w:after="40"/>
      </w:pPr>
      <w:r>
        <w:rPr>
          <w:b/>
        </w:rPr>
        <w:t xml:space="preserve">POS ownership: </w:t>
      </w:r>
      <w:r>
        <w:t>POS remains the interim owner for new back-office-level work; no new work was placed in IMS.</w:t>
      </w:r>
    </w:p>
    <w:p>
      <w:pPr>
        <w:spacing w:after="40"/>
      </w:pPr>
      <w:r>
        <w:rPr>
          <w:b/>
        </w:rPr>
        <w:t xml:space="preserve">Receipt boundary: </w:t>
      </w:r>
      <w:r>
        <w:t>Frontend/mobile may use @sieitzz/pos-receipt; the backend does not import it.</w:t>
      </w:r>
    </w:p>
    <w:p>
      <w:pPr>
        <w:spacing w:after="40"/>
      </w:pPr>
      <w:r>
        <w:rPr>
          <w:b/>
        </w:rPr>
        <w:t xml:space="preserve">Fiscal classification: </w:t>
      </w:r>
      <w:r>
        <w:t>Fiscal/non-fiscal status remains explicit server-owned metadata; invoice prefixes are not used.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72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60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Target flow control</w:t>
            </w:r>
          </w:p>
        </w:tc>
        <w:tc>
          <w:tcPr>
            <w:tcW w:type="dxa" w:w="33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Owner / output</w:t>
            </w:r>
          </w:p>
        </w:tc>
      </w:tr>
      <w:tr>
        <w:tc>
          <w:tcPr>
            <w:tcW w:type="dxa" w:w="72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60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Request readiness, sample, report, journal, audit, screenshot, or DR evidence.</w:t>
            </w:r>
          </w:p>
        </w:tc>
        <w:tc>
          <w:tcPr>
            <w:tcW w:type="dxa" w:w="33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POS/compliance UI; request context</w:t>
            </w:r>
          </w:p>
        </w:tc>
      </w:tr>
      <w:tr>
        <w:tc>
          <w:tcPr>
            <w:tcW w:type="dxa" w:w="72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0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Validate tenant, branch, terminal, date range, artifact type, and policy version.</w:t>
            </w:r>
          </w:p>
        </w:tc>
        <w:tc>
          <w:tcPr>
            <w:tcW w:type="dxa" w:w="33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API controller; validated command</w:t>
            </w:r>
          </w:p>
        </w:tc>
      </w:tr>
      <w:tr>
        <w:tc>
          <w:tcPr>
            <w:tcW w:type="dxa" w:w="72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60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Check permission, compliance mode, location access, freshness, and source state.</w:t>
            </w:r>
          </w:p>
        </w:tc>
        <w:tc>
          <w:tcPr>
            <w:tcW w:type="dxa" w:w="33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Use case; authorized read plan</w:t>
            </w:r>
          </w:p>
        </w:tc>
      </w:tr>
      <w:tr>
        <w:tc>
          <w:tcPr>
            <w:tcW w:type="dxa" w:w="72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60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Read immutable fiscal snapshots, adjustments, events, readings, reports, audit, and version data.</w:t>
            </w:r>
          </w:p>
        </w:tc>
        <w:tc>
          <w:tcPr>
            <w:tcW w:type="dxa" w:w="33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Repositories; ordered source snapshot</w:t>
            </w:r>
          </w:p>
        </w:tc>
      </w:tr>
      <w:tr>
        <w:tc>
          <w:tcPr>
            <w:tcW w:type="dxa" w:w="72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60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Validate completeness, stable ordering, and SHA-256 in a later serializer.</w:t>
            </w:r>
          </w:p>
        </w:tc>
        <w:tc>
          <w:tcPr>
            <w:tcW w:type="dxa" w:w="33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Evidence generator; artifact and manifest</w:t>
            </w:r>
          </w:p>
        </w:tc>
      </w:tr>
      <w:tr>
        <w:tc>
          <w:tcPr>
            <w:tcW w:type="dxa" w:w="72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60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Store artifact metadata, source revision, generator version, checksum, and review state.</w:t>
            </w:r>
          </w:p>
        </w:tc>
        <w:tc>
          <w:tcPr>
            <w:tcW w:type="dxa" w:w="33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Final review; tenant-scoped metadata</w:t>
            </w:r>
          </w:p>
        </w:tc>
      </w:tr>
      <w:tr>
        <w:tc>
          <w:tcPr>
            <w:tcW w:type="dxa" w:w="72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60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Return only an authorized artifact or manifest for local capture/hard copy.</w:t>
            </w:r>
          </w:p>
        </w:tc>
        <w:tc>
          <w:tcPr>
            <w:tcW w:type="dxa" w:w="33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API/UI; scoped response</w:t>
            </w:r>
          </w:p>
        </w:tc>
      </w:tr>
    </w:tbl>
    <w:p/>
    <w:p>
      <w:pPr>
        <w:pStyle w:val="Heading1"/>
        <w:spacing w:before="160" w:after="80"/>
      </w:pPr>
      <w:r>
        <w:t>4. Module placement and source truth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Surface</w:t>
            </w:r>
          </w:p>
        </w:tc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403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Authoritative source</w:t>
            </w:r>
          </w:p>
        </w:tc>
        <w:tc>
          <w:tcPr>
            <w:tcW w:type="dxa" w:w="259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Rollback boundary</w:t>
            </w:r>
          </w:p>
        </w:tc>
      </w:tr>
      <w:tr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POS fiscal runtime</w:t>
            </w:r>
          </w:p>
        </w:tc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403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POS repository plus transaction, adjustment, and fiscal-event models</w:t>
            </w:r>
          </w:p>
        </w:tc>
        <w:tc>
          <w:tcPr>
            <w:tcW w:type="dxa" w:w="259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Revert runtime code; preserve fiscal records and audit</w:t>
            </w:r>
          </w:p>
        </w:tc>
      </w:tr>
      <w:tr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Compliance readiness</w:t>
            </w:r>
          </w:p>
        </w:tc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Compliance</w:t>
            </w:r>
          </w:p>
        </w:tc>
        <w:tc>
          <w:tcPr>
            <w:tcW w:type="dxa" w:w="403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Compliance use cases/repository plus final-review document/signoff models</w:t>
            </w:r>
          </w:p>
        </w:tc>
        <w:tc>
          <w:tcPr>
            <w:tcW w:type="dxa" w:w="259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Revert additive metadata; preserve final-review rows/signoffs</w:t>
            </w:r>
          </w:p>
        </w:tc>
      </w:tr>
      <w:tr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POS terminal; Business Admin back-office</w:t>
            </w:r>
          </w:p>
        </w:tc>
        <w:tc>
          <w:tcPr>
            <w:tcW w:type="dxa" w:w="403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Report registry and POS-owned snapshots</w:t>
            </w:r>
          </w:p>
        </w:tc>
        <w:tc>
          <w:tcPr>
            <w:tcW w:type="dxa" w:w="259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Revert projections; never rewrite source snapshots</w:t>
            </w:r>
          </w:p>
        </w:tc>
      </w:tr>
      <w:tr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POS UI</w:t>
            </w:r>
          </w:p>
        </w:tc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POS UI</w:t>
            </w:r>
          </w:p>
        </w:tc>
        <w:tc>
          <w:tcPr>
            <w:tcW w:type="dxa" w:w="403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Authorized API responses and receipt projection</w:t>
            </w:r>
          </w:p>
        </w:tc>
        <w:tc>
          <w:tcPr>
            <w:tcW w:type="dxa" w:w="259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Revert UI independently; no record mutation</w:t>
            </w:r>
          </w:p>
        </w:tc>
      </w:tr>
      <w:tr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Migrations</w:t>
            </w:r>
          </w:p>
        </w:tc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Migration runner</w:t>
            </w:r>
          </w:p>
        </w:tc>
        <w:tc>
          <w:tcPr>
            <w:tcW w:type="dxa" w:w="403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Reviewed additive schema and rollback contract</w:t>
            </w:r>
          </w:p>
        </w:tc>
        <w:tc>
          <w:tcPr>
            <w:tcW w:type="dxa" w:w="259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Tested down path or preservation plan</w:t>
            </w:r>
          </w:p>
        </w:tc>
      </w:tr>
      <w:tr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Evidence docs</w:t>
            </w:r>
          </w:p>
        </w:tc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Compliance documentation</w:t>
            </w:r>
          </w:p>
        </w:tc>
        <w:tc>
          <w:tcPr>
            <w:tcW w:type="dxa" w:w="403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Requirements registry and final-review records</w:t>
            </w:r>
          </w:p>
        </w:tc>
        <w:tc>
          <w:tcPr>
            <w:tcW w:type="dxa" w:w="259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Remove generated local artifacts only</w:t>
            </w:r>
          </w:p>
        </w:tc>
      </w:tr>
    </w:tbl>
    <w:p/>
    <w:p>
      <w:r>
        <w:t>The evidence layer is a read-only projection of issued fiscal documents, adjustments, X/Z snapshots, reports, and audit records. Existing final-review document and signoff persistence is the integration point; Section 03 introduces no duplicate readiness store.</w:t>
      </w:r>
    </w:p>
    <w:p>
      <w:pPr>
        <w:pStyle w:val="Heading1"/>
        <w:spacing w:before="160" w:after="80"/>
      </w:pPr>
      <w:r>
        <w:t>5. Security, data integrity, and ADR verification</w:t>
      </w:r>
    </w:p>
    <w:p>
      <w:pPr>
        <w:pStyle w:val="ListBullet"/>
        <w:spacing w:after="40"/>
      </w:pPr>
      <w:r>
        <w:t>Tenant and location scope is explicit in the source contract; compliance routes retain VIEW_SETTINGS, EDIT_SETTINGS, and VIEW_AUDIT middleware.</w:t>
      </w:r>
    </w:p>
    <w:p>
      <w:pPr>
        <w:pStyle w:val="ListBullet"/>
        <w:spacing w:after="40"/>
      </w:pPr>
      <w:r>
        <w:t>Every planned surface records owner, permission contract, source of truth, and rollback boundary.</w:t>
      </w:r>
    </w:p>
    <w:p>
      <w:pPr>
        <w:pStyle w:val="ListBullet"/>
        <w:spacing w:after="40"/>
      </w:pPr>
      <w:r>
        <w:t>Evidence is forbidden from mutating fiscal sources, creating a duplicate ledger, crossing scope, or inferring fiscal status from an invoice prefix.</w:t>
      </w:r>
    </w:p>
    <w:p>
      <w:pPr>
        <w:pStyle w:val="ListBullet"/>
        <w:spacing w:after="40"/>
      </w:pPr>
      <w:r>
        <w:t>Determinism inputs are source_snapshot, policy_version, and serializer_version; outputs are artifact_bytes, record_order, and sha256.</w:t>
      </w:r>
    </w:p>
    <w:p>
      <w:pPr>
        <w:pStyle w:val="ListBullet"/>
        <w:spacing w:after="40"/>
      </w:pPr>
      <w:r>
        <w:t>ADR 0039/0042 impact is required for fiscal lifecycle, e-Journal grammar, append-only, immutable-field, activation-gate, or receipt-ownership changes. Section 03 itself requires no amendment.</w:t>
      </w:r>
    </w:p>
    <w:p>
      <w:pPr>
        <w:pStyle w:val="Heading1"/>
        <w:spacing w:before="160" w:after="80"/>
      </w:pPr>
      <w:r>
        <w:t>6. Files and implementation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47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Path</w:t>
            </w:r>
          </w:p>
        </w:tc>
        <w:tc>
          <w:tcPr>
            <w:tcW w:type="dxa" w:w="417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1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Added</w:t>
            </w:r>
          </w:p>
        </w:tc>
        <w:tc>
          <w:tcPr>
            <w:tcW w:type="dxa" w:w="47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docs/compliance/evidence/annex-b-items-4-14-architecture-contract-v1.json</w:t>
            </w:r>
          </w:p>
        </w:tc>
        <w:tc>
          <w:tcPr>
            <w:tcW w:type="dxa" w:w="417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Machine-readable architecture, source map, controls, requirements, manifest, and verification summary.</w:t>
            </w:r>
          </w:p>
        </w:tc>
      </w:tr>
      <w:tr>
        <w:tc>
          <w:tcPr>
            <w:tcW w:type="dxa" w:w="11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Added</w:t>
            </w:r>
          </w:p>
        </w:tc>
        <w:tc>
          <w:tcPr>
            <w:tcW w:type="dxa" w:w="47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docs/compliance/evidence/annex-b-items-4-14-architecture-contract-v1.md</w:t>
            </w:r>
          </w:p>
        </w:tc>
        <w:tc>
          <w:tcPr>
            <w:tcW w:type="dxa" w:w="417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Human-readable architecture and guardrail record.</w:t>
            </w:r>
          </w:p>
        </w:tc>
      </w:tr>
      <w:tr>
        <w:tc>
          <w:tcPr>
            <w:tcW w:type="dxa" w:w="11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Added</w:t>
            </w:r>
          </w:p>
        </w:tc>
        <w:tc>
          <w:tcPr>
            <w:tcW w:type="dxa" w:w="47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scripts/validate-annex-b-items-4-14-architecture.cjs</w:t>
            </w:r>
          </w:p>
        </w:tc>
        <w:tc>
          <w:tcPr>
            <w:tcW w:type="dxa" w:w="417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Independent schema, hash, boundary, scope, determinism, ADR, and forbidden-import validator.</w:t>
            </w:r>
          </w:p>
        </w:tc>
      </w:tr>
      <w:tr>
        <w:tc>
          <w:tcPr>
            <w:tcW w:type="dxa" w:w="11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Added</w:t>
            </w:r>
          </w:p>
        </w:tc>
        <w:tc>
          <w:tcPr>
            <w:tcW w:type="dxa" w:w="47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scripts/validate-annex-b-items-4-14-architecture.test.cjs</w:t>
            </w:r>
          </w:p>
        </w:tc>
        <w:tc>
          <w:tcPr>
            <w:tcW w:type="dxa" w:w="417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12 positive and negative-path contract tests.</w:t>
            </w:r>
          </w:p>
        </w:tc>
      </w:tr>
      <w:tr>
        <w:tc>
          <w:tcPr>
            <w:tcW w:type="dxa" w:w="11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Updated</w:t>
            </w:r>
          </w:p>
        </w:tc>
        <w:tc>
          <w:tcPr>
            <w:tcW w:type="dxa" w:w="47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package.json</w:t>
            </w:r>
          </w:p>
        </w:tc>
        <w:tc>
          <w:tcPr>
            <w:tcW w:type="dxa" w:w="417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Adds check:annex-b-architecture and test:annex-b-architecture scripts.</w:t>
            </w:r>
          </w:p>
        </w:tc>
      </w:tr>
      <w:tr>
        <w:tc>
          <w:tcPr>
            <w:tcW w:type="dxa" w:w="11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Updated</w:t>
            </w:r>
          </w:p>
        </w:tc>
        <w:tc>
          <w:tcPr>
            <w:tcW w:type="dxa" w:w="47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docs/compliance/README.md</w:t>
            </w:r>
          </w:p>
        </w:tc>
        <w:tc>
          <w:tcPr>
            <w:tcW w:type="dxa" w:w="417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Links Section 03 evidence and validators.</w:t>
            </w:r>
          </w:p>
        </w:tc>
      </w:tr>
      <w:tr>
        <w:tc>
          <w:tcPr>
            <w:tcW w:type="dxa" w:w="11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Updated</w:t>
            </w:r>
          </w:p>
        </w:tc>
        <w:tc>
          <w:tcPr>
            <w:tcW w:type="dxa" w:w="47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docs/compliance/impact-declarations/2026-10-03-pos-bir-annex-b-items-4-to-14-phase-353.md</w:t>
            </w:r>
          </w:p>
        </w:tc>
        <w:tc>
          <w:tcPr>
            <w:tcW w:type="dxa" w:w="417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Records Section 03 scope and verification commands.</w:t>
            </w:r>
          </w:p>
        </w:tc>
      </w:tr>
      <w:tr>
        <w:tc>
          <w:tcPr>
            <w:tcW w:type="dxa" w:w="11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Updated</w:t>
            </w:r>
          </w:p>
        </w:tc>
        <w:tc>
          <w:tcPr>
            <w:tcW w:type="dxa" w:w="475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docs/features/IMPLEMENTATION_PHASE_LEDGER.md</w:t>
            </w:r>
          </w:p>
        </w:tc>
        <w:tc>
          <w:tcPr>
            <w:tcW w:type="dxa" w:w="417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Marks Sections 01–03 complete within Phase 353 and links the contract.</w:t>
            </w:r>
          </w:p>
        </w:tc>
      </w:tr>
    </w:tbl>
    <w:p/>
    <w:p>
      <w:pPr>
        <w:spacing w:after="40"/>
      </w:pPr>
      <w:r>
        <w:rPr>
          <w:b/>
        </w:rPr>
        <w:t xml:space="preserve">Database changes: </w:t>
      </w:r>
      <w:r>
        <w:t>None</w:t>
      </w:r>
    </w:p>
    <w:p>
      <w:pPr>
        <w:spacing w:after="40"/>
      </w:pPr>
      <w:r>
        <w:rPr>
          <w:b/>
        </w:rPr>
        <w:t xml:space="preserve">Runtime/API/UI changes: </w:t>
      </w:r>
      <w:r>
        <w:t>None; Section 03 is architecture/control design only</w:t>
      </w:r>
    </w:p>
    <w:p>
      <w:pPr>
        <w:spacing w:after="40"/>
      </w:pPr>
      <w:r>
        <w:rPr>
          <w:b/>
        </w:rPr>
        <w:t xml:space="preserve">Staging/production changes: </w:t>
      </w:r>
      <w:r>
        <w:t>None</w:t>
      </w:r>
    </w:p>
    <w:p>
      <w:pPr>
        <w:spacing w:after="40"/>
      </w:pPr>
      <w:r>
        <w:rPr>
          <w:b/>
        </w:rPr>
        <w:t xml:space="preserve">Rollback: </w:t>
      </w:r>
      <w:r>
        <w:t>Remove the Section 03 contract/validator/docs links together; do not reset unrelated dirty worktree changes or delete fiscal/audit data.</w:t>
      </w:r>
    </w:p>
    <w:p>
      <w:pPr>
        <w:pStyle w:val="Heading1"/>
        <w:spacing w:before="160" w:after="80"/>
      </w:pPr>
      <w:r>
        <w:t>7. Verification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1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518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31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npm run check:annex-b-architecture</w:t>
            </w:r>
          </w:p>
        </w:tc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518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6/6 contract requirements implemented; runtime remains deferred by plan.</w:t>
            </w:r>
          </w:p>
        </w:tc>
      </w:tr>
      <w:tr>
        <w:tc>
          <w:tcPr>
            <w:tcW w:type="dxa" w:w="31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npm run test:annex-b-architecture</w:t>
            </w:r>
          </w:p>
        </w:tc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518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12 tests passed, including negative paths.</w:t>
            </w:r>
          </w:p>
        </w:tc>
      </w:tr>
      <w:tr>
        <w:tc>
          <w:tcPr>
            <w:tcW w:type="dxa" w:w="31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npm run check:annex-b-readiness</w:t>
            </w:r>
          </w:p>
        </w:tc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518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Items 4–14 baseline remains accurate at 0%; no false 100% score.</w:t>
            </w:r>
          </w:p>
        </w:tc>
      </w:tr>
      <w:tr>
        <w:tc>
          <w:tcPr>
            <w:tcW w:type="dxa" w:w="31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npm run test:annex-b-readiness</w:t>
            </w:r>
          </w:p>
        </w:tc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518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7 tests passed.</w:t>
            </w:r>
          </w:p>
        </w:tc>
      </w:tr>
      <w:tr>
        <w:tc>
          <w:tcPr>
            <w:tcW w:type="dxa" w:w="31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npm run check:annex-b-requirements</w:t>
            </w:r>
          </w:p>
        </w:tc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518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Section 02 registry and hashes pass.</w:t>
            </w:r>
          </w:p>
        </w:tc>
      </w:tr>
      <w:tr>
        <w:tc>
          <w:tcPr>
            <w:tcW w:type="dxa" w:w="31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npm run test:annex-b-requirements</w:t>
            </w:r>
          </w:p>
        </w:tc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518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10 tests passed.</w:t>
            </w:r>
          </w:p>
        </w:tc>
      </w:tr>
      <w:tr>
        <w:tc>
          <w:tcPr>
            <w:tcW w:type="dxa" w:w="31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npm run check:architecture</w:t>
            </w:r>
          </w:p>
        </w:tc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518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56 modules, 666 code files; 103 controllers with no unauthorized model imports.</w:t>
            </w:r>
          </w:p>
        </w:tc>
      </w:tr>
      <w:tr>
        <w:tc>
          <w:tcPr>
            <w:tcW w:type="dxa" w:w="31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npm run lint:docs</w:t>
            </w:r>
          </w:p>
        </w:tc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518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30 governed docs and 93 ADRs validated.</w:t>
            </w:r>
          </w:p>
        </w:tc>
      </w:tr>
      <w:tr>
        <w:tc>
          <w:tcPr>
            <w:tcW w:type="dxa" w:w="31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git diff --check</w:t>
            </w:r>
          </w:p>
        </w:tc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518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No whitespace errors; Git emitted only existing line-ending warnings.</w:t>
            </w:r>
          </w:p>
        </w:tc>
      </w:tr>
      <w:tr>
        <w:tc>
          <w:tcPr>
            <w:tcW w:type="dxa" w:w="31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DO NOT COMMIT scan</w:t>
            </w:r>
          </w:p>
        </w:tc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518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No matches in scoped changed files.</w:t>
            </w:r>
          </w:p>
        </w:tc>
      </w:tr>
      <w:tr>
        <w:tc>
          <w:tcPr>
            <w:tcW w:type="dxa" w:w="31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npm run check:compliance</w:t>
            </w:r>
          </w:p>
        </w:tc>
        <w:tc>
          <w:tcPr>
            <w:tcW w:type="dxa" w:w="17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KNOWN BASELINE FAIL</w:t>
            </w:r>
          </w:p>
        </w:tc>
        <w:tc>
          <w:tcPr>
            <w:tcW w:type="dxa" w:w="518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Four pre-existing 2026-09-26 declaration errors; none reference the new Phase 353 declaration.</w:t>
            </w:r>
          </w:p>
        </w:tc>
      </w:tr>
    </w:tbl>
    <w:p/>
    <w:p>
      <w:pPr>
        <w:pStyle w:val="Heading1"/>
        <w:spacing w:before="160" w:after="80"/>
      </w:pPr>
      <w:r>
        <w:t>8. Problems, fixes, and residual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46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561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Disposition</w:t>
            </w:r>
          </w:p>
        </w:tc>
      </w:tr>
      <w:tr>
        <w:tc>
          <w:tcPr>
            <w:tcW w:type="dxa" w:w="446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The repository-wide compliance checker fails on four unrelated 2026-09-26 registration declarations.</w:t>
            </w:r>
          </w:p>
        </w:tc>
        <w:tc>
          <w:tcPr>
            <w:tcW w:type="dxa" w:w="561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Recorded as a pre-existing baseline issue; not changed in this Section 03 slice.</w:t>
            </w:r>
          </w:p>
        </w:tc>
      </w:tr>
      <w:tr>
        <w:tc>
          <w:tcPr>
            <w:tcW w:type="dxa" w:w="446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Evidence generation could drift into a second fiscal source or ledger.</w:t>
            </w:r>
          </w:p>
        </w:tc>
        <w:tc>
          <w:tcPr>
            <w:tcW w:type="dxa" w:w="561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Prevented by the source-of-truth contract and no-duplicate-readiness-store guardrail.</w:t>
            </w:r>
          </w:p>
        </w:tc>
      </w:tr>
      <w:tr>
        <w:tc>
          <w:tcPr>
            <w:tcW w:type="dxa" w:w="446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An endpoint could bypass tenant/permission checks in a later runtime slice.</w:t>
            </w:r>
          </w:p>
        </w:tc>
        <w:tc>
          <w:tcPr>
            <w:tcW w:type="dxa" w:w="561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Every planned surface carries permission/scope metadata; validator checks the route contract and current middleware.</w:t>
            </w:r>
          </w:p>
        </w:tc>
      </w:tr>
      <w:tr>
        <w:tc>
          <w:tcPr>
            <w:tcW w:type="dxa" w:w="446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Report read models could diverge from fiscal snapshots.</w:t>
            </w:r>
          </w:p>
        </w:tc>
        <w:tc>
          <w:tcPr>
            <w:tcW w:type="dxa" w:w="561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Report ownership and POS snapshot source are explicit; later report tests must reconcile outputs.</w:t>
            </w:r>
          </w:p>
        </w:tc>
      </w:tr>
      <w:tr>
        <w:tc>
          <w:tcPr>
            <w:tcW w:type="dxa" w:w="446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A fiscal contract could change without architecture review.</w:t>
            </w:r>
          </w:p>
        </w:tc>
        <w:tc>
          <w:tcPr>
            <w:tcW w:type="dxa" w:w="561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ADR 0039/0042 trigger list is mandatory in the contract and validator.</w:t>
            </w:r>
          </w:p>
        </w:tc>
      </w:tr>
    </w:tbl>
    <w:p/>
    <w:p>
      <w:pPr>
        <w:pStyle w:val="Heading1"/>
        <w:spacing w:before="160" w:after="80"/>
      </w:pPr>
      <w:r>
        <w:t>9. Remaining blockers and next eligible phase</w:t>
      </w:r>
    </w:p>
    <w:p>
      <w:r>
        <w:t>Section 03 is complete for its approved architecture/control scope. The overall Annex B Items 4–14 readiness plan is not complete and must not be represented as 100% or BIR-approved. The runtime status for all six Section 03 controls is DEFERRED BY PLAN.</w:t>
      </w:r>
    </w:p>
    <w:p>
      <w:pPr>
        <w:pStyle w:val="ListBullet"/>
        <w:spacing w:after="40"/>
      </w:pPr>
      <w:r>
        <w:t>Phase 354: implement and verify Item 4 fiscal receipt completeness against the locked source contract.</w:t>
      </w:r>
    </w:p>
    <w:p>
      <w:pPr>
        <w:pStyle w:val="ListBullet"/>
        <w:spacing w:after="40"/>
      </w:pPr>
      <w:r>
        <w:t>Later phases must add runtime evidence, migrations, serializers, permissions, exports, rollback proof, and independent tests without creating a second fiscal source.</w:t>
      </w:r>
    </w:p>
    <w:p>
      <w:pPr>
        <w:pStyle w:val="ListBullet"/>
        <w:spacing w:after="40"/>
      </w:pPr>
      <w:r>
        <w:t>The four pre-existing compliance declaration failures remain owned by their 2026-09-26 changes and must be repaired before a repository-wide compliance pass can be green.</w:t>
      </w:r>
    </w:p>
    <w:p>
      <w:pPr>
        <w:pStyle w:val="Heading1"/>
        <w:spacing w:before="160" w:after="80"/>
      </w:pPr>
      <w:r>
        <w:t>10. Final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Audit gate</w:t>
            </w:r>
          </w:p>
        </w:tc>
        <w:tc>
          <w:tcPr>
            <w:tcW w:type="dxa" w:w="67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33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Plan-to-implementation traceability</w:t>
            </w:r>
          </w:p>
        </w:tc>
        <w:tc>
          <w:tcPr>
            <w:tcW w:type="dxa" w:w="67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PASS — Section 03 requirements, target flow, module placement, source truth, tests, and acceptance are present in the contract.</w:t>
            </w:r>
          </w:p>
        </w:tc>
      </w:tr>
      <w:tr>
        <w:tc>
          <w:tcPr>
            <w:tcW w:type="dxa" w:w="33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Independent verification</w:t>
            </w:r>
          </w:p>
        </w:tc>
        <w:tc>
          <w:tcPr>
            <w:tcW w:type="dxa" w:w="67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PASS — validator and 12 tests pass, including tampered-layer, mutable-source, missing-metadata, determinism, ADR, and staging-mode negatives.</w:t>
            </w:r>
          </w:p>
        </w:tc>
      </w:tr>
      <w:tr>
        <w:tc>
          <w:tcPr>
            <w:tcW w:type="dxa" w:w="33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Security and tenant isolation</w:t>
            </w:r>
          </w:p>
        </w:tc>
        <w:tc>
          <w:tcPr>
            <w:tcW w:type="dxa" w:w="67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PASS for architecture contract — route permission and tenant/location guardrails are explicit; runtime enforcement remains later-phase work.</w:t>
            </w:r>
          </w:p>
        </w:tc>
      </w:tr>
      <w:tr>
        <w:tc>
          <w:tcPr>
            <w:tcW w:type="dxa" w:w="33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Data integrity</w:t>
            </w:r>
          </w:p>
        </w:tc>
        <w:tc>
          <w:tcPr>
            <w:tcW w:type="dxa" w:w="67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PASS for architecture contract — evidence cannot become mutable fiscal truth; source revisions/checksums are required.</w:t>
            </w:r>
          </w:p>
        </w:tc>
      </w:tr>
      <w:tr>
        <w:tc>
          <w:tcPr>
            <w:tcW w:type="dxa" w:w="33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Release safety</w:t>
            </w:r>
          </w:p>
        </w:tc>
        <w:tc>
          <w:tcPr>
            <w:tcW w:type="dxa" w:w="67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PASS — local-only, no DB/runtime/UI/staging/production changes.</w:t>
            </w:r>
          </w:p>
        </w:tc>
      </w:tr>
      <w:tr>
        <w:tc>
          <w:tcPr>
            <w:tcW w:type="dxa" w:w="33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External readiness claim</w:t>
            </w:r>
          </w:p>
        </w:tc>
        <w:tc>
          <w:tcPr>
            <w:tcW w:type="dxa" w:w="67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NOT CLAIMED — internal readiness evidence only.</w:t>
            </w:r>
          </w:p>
        </w:tc>
      </w:tr>
    </w:tbl>
    <w:p/>
    <w:p>
      <w:r>
        <w:t>Final status: IMPLEMENTATION COMPLETE — VERIFIED WITH DOCUMENTED NON-BLOCKING RISKS for Section 03. Overall Items 4–14 readiness remains PARTIALLY COMPLETE — BLOCKED until the later runtime phases generate and verify their evidence.</w:t>
      </w:r>
    </w:p>
    <w:p>
      <w:pPr>
        <w:pStyle w:val="Heading2"/>
      </w:pPr>
      <w:r>
        <w:t>Appendix A — Evidence hashes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67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33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r>
              <w:rPr>
                <w:b/>
                <w:color w:val="FFFFFF"/>
                <w:sz w:val="16"/>
              </w:rPr>
              <w:t>SHA-256</w:t>
            </w:r>
          </w:p>
        </w:tc>
      </w:tr>
      <w:tr>
        <w:tc>
          <w:tcPr>
            <w:tcW w:type="dxa" w:w="67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docs/compliance/evidence/annex-b-items-4-14-architecture-contract-v1.json</w:t>
            </w:r>
          </w:p>
        </w:tc>
        <w:tc>
          <w:tcPr>
            <w:tcW w:type="dxa" w:w="33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9ba1408cd9b1b2bb4c72d945ccbe2b9bd28ad29f8866d39212574e833e8878f3</w:t>
            </w:r>
          </w:p>
        </w:tc>
      </w:tr>
      <w:tr>
        <w:tc>
          <w:tcPr>
            <w:tcW w:type="dxa" w:w="67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docs/compliance/evidence/annex-b-items-4-14-architecture-contract-v1.md</w:t>
            </w:r>
          </w:p>
        </w:tc>
        <w:tc>
          <w:tcPr>
            <w:tcW w:type="dxa" w:w="33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e23a18dcb7de55b3ed3d60535941018e30819c43fce193dcc9d8a27fc0bd55a3</w:t>
            </w:r>
          </w:p>
        </w:tc>
      </w:tr>
      <w:tr>
        <w:tc>
          <w:tcPr>
            <w:tcW w:type="dxa" w:w="67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scripts/validate-annex-b-items-4-14-architecture.cjs</w:t>
            </w:r>
          </w:p>
        </w:tc>
        <w:tc>
          <w:tcPr>
            <w:tcW w:type="dxa" w:w="33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fec94ce2a0b71d17966a2690f28e7e8831473966c1cbfae2fb659754c283d215</w:t>
            </w:r>
          </w:p>
        </w:tc>
      </w:tr>
      <w:tr>
        <w:tc>
          <w:tcPr>
            <w:tcW w:type="dxa" w:w="67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scripts/validate-annex-b-items-4-14-architecture.test.cjs</w:t>
            </w:r>
          </w:p>
        </w:tc>
        <w:tc>
          <w:tcPr>
            <w:tcW w:type="dxa" w:w="3312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sz w:val="16"/>
              </w:rPr>
              <w:t>6d76373a1c551c1856f1af6985e2b78081a86af68206d4ab0b58bb5db14703ae</w:t>
            </w:r>
          </w:p>
        </w:tc>
      </w:tr>
    </w:tbl>
    <w:p/>
    <w:p>
      <w:pPr>
        <w:pStyle w:val="Heading2"/>
      </w:pPr>
      <w:r>
        <w:t>Appendix B — Execution identity</w:t>
      </w:r>
    </w:p>
    <w:p>
      <w:pPr>
        <w:spacing w:after="40"/>
      </w:pPr>
      <w:r>
        <w:rPr>
          <w:b/>
        </w:rPr>
        <w:t xml:space="preserve">Source commit observed: </w:t>
      </w:r>
      <w:r>
        <w:t>786cd4e8329db1a65398ce6aa7eb020ffc8f3b28</w:t>
      </w:r>
    </w:p>
    <w:p>
      <w:pPr>
        <w:spacing w:after="40"/>
      </w:pPr>
      <w:r>
        <w:rPr>
          <w:b/>
        </w:rPr>
        <w:t xml:space="preserve">Generated at: </w:t>
      </w:r>
      <w:r>
        <w:t>2026-10-03T11:44:58.800723+00:00</w:t>
      </w:r>
    </w:p>
    <w:p>
      <w:pPr>
        <w:spacing w:after="40"/>
      </w:pPr>
      <w:r>
        <w:rPr>
          <w:b/>
        </w:rPr>
        <w:t xml:space="preserve">Verification scope: </w:t>
      </w:r>
      <w:r>
        <w:t>Local repository only; no staging or production access used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