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left"/>
      </w:pPr>
      <w:r>
        <w:rPr>
          <w:b/>
          <w:color w:val="000000"/>
          <w:sz w:val="44"/>
        </w:rPr>
        <w:t>POS Register Reconciliation Integrity Fix Plan</w:t>
      </w:r>
    </w:p>
    <w:p>
      <w:pPr>
        <w:spacing w:after="240"/>
        <w:jc w:val="left"/>
      </w:pPr>
      <w:r>
        <w:rPr>
          <w:color w:val="000000"/>
          <w:sz w:val="22"/>
        </w:rPr>
        <w:t>Ordered delivery phases, release controls and recovery plan</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F2F2F2"/>
            <w:tcMar>
              <w:top w:w="90" w:type="dxa"/>
              <w:start w:w="120" w:type="dxa"/>
              <w:bottom w:w="90" w:type="dxa"/>
              <w:end w:w="120" w:type="dxa"/>
            </w:tcMar>
          </w:tcPr>
          <w:p>
            <w:r>
              <w:rPr>
                <w:b/>
                <w:color w:val="000000"/>
                <w:sz w:val="18"/>
              </w:rPr>
              <w:t>Project Name</w:t>
            </w:r>
          </w:p>
        </w:tc>
        <w:tc>
          <w:tcPr>
            <w:tcW w:type="dxa" w:w="5083"/>
            <w:vAlign w:val="center"/>
            <w:shd w:fill="FFFFFF"/>
            <w:tcMar>
              <w:top w:w="90" w:type="dxa"/>
              <w:start w:w="120" w:type="dxa"/>
              <w:bottom w:w="90" w:type="dxa"/>
              <w:end w:w="120" w:type="dxa"/>
            </w:tcMar>
          </w:tcPr>
          <w:p>
            <w:r>
              <w:rPr>
                <w:b w:val="0"/>
                <w:color w:val="000000"/>
                <w:sz w:val="18"/>
              </w:rPr>
              <w:t>POS Register Reconciliation Integrity Fix</w:t>
            </w:r>
          </w:p>
        </w:tc>
      </w:tr>
      <w:tr>
        <w:tc>
          <w:tcPr>
            <w:tcW w:type="dxa" w:w="5083"/>
            <w:vAlign w:val="center"/>
            <w:shd w:fill="F2F2F2"/>
            <w:tcMar>
              <w:top w:w="90" w:type="dxa"/>
              <w:start w:w="120" w:type="dxa"/>
              <w:bottom w:w="90" w:type="dxa"/>
              <w:end w:w="120" w:type="dxa"/>
            </w:tcMar>
          </w:tcPr>
          <w:p>
            <w:r>
              <w:rPr>
                <w:b/>
                <w:color w:val="000000"/>
                <w:sz w:val="18"/>
              </w:rPr>
              <w:t>Plan Version</w:t>
            </w:r>
          </w:p>
        </w:tc>
        <w:tc>
          <w:tcPr>
            <w:tcW w:type="dxa" w:w="5083"/>
            <w:vAlign w:val="center"/>
            <w:shd w:fill="FFFFFF"/>
            <w:tcMar>
              <w:top w:w="90" w:type="dxa"/>
              <w:start w:w="120" w:type="dxa"/>
              <w:bottom w:w="90" w:type="dxa"/>
              <w:end w:w="120" w:type="dxa"/>
            </w:tcMar>
          </w:tcPr>
          <w:p>
            <w:r>
              <w:rPr>
                <w:b w:val="0"/>
                <w:color w:val="000000"/>
                <w:sz w:val="18"/>
              </w:rPr>
              <w:t>1.0</w:t>
            </w:r>
          </w:p>
        </w:tc>
      </w:tr>
      <w:tr>
        <w:tc>
          <w:tcPr>
            <w:tcW w:type="dxa" w:w="5083"/>
            <w:vAlign w:val="center"/>
            <w:shd w:fill="F2F2F2"/>
            <w:tcMar>
              <w:top w:w="90" w:type="dxa"/>
              <w:start w:w="120" w:type="dxa"/>
              <w:bottom w:w="90" w:type="dxa"/>
              <w:end w:w="120" w:type="dxa"/>
            </w:tcMar>
          </w:tcPr>
          <w:p>
            <w:r>
              <w:rPr>
                <w:b/>
                <w:color w:val="000000"/>
                <w:sz w:val="18"/>
              </w:rPr>
              <w:t>Section Number</w:t>
            </w:r>
          </w:p>
        </w:tc>
        <w:tc>
          <w:tcPr>
            <w:tcW w:type="dxa" w:w="5083"/>
            <w:vAlign w:val="center"/>
            <w:shd w:fill="FFFFFF"/>
            <w:tcMar>
              <w:top w:w="90" w:type="dxa"/>
              <w:start w:w="120" w:type="dxa"/>
              <w:bottom w:w="90" w:type="dxa"/>
              <w:end w:w="120" w:type="dxa"/>
            </w:tcMar>
          </w:tcPr>
          <w:p>
            <w:r>
              <w:rPr>
                <w:b w:val="0"/>
                <w:color w:val="000000"/>
                <w:sz w:val="18"/>
              </w:rPr>
              <w:t>06</w:t>
            </w:r>
          </w:p>
        </w:tc>
      </w:tr>
      <w:tr>
        <w:tc>
          <w:tcPr>
            <w:tcW w:type="dxa" w:w="5083"/>
            <w:vAlign w:val="center"/>
            <w:shd w:fill="F2F2F2"/>
            <w:tcMar>
              <w:top w:w="90" w:type="dxa"/>
              <w:start w:w="120" w:type="dxa"/>
              <w:bottom w:w="90" w:type="dxa"/>
              <w:end w:w="120" w:type="dxa"/>
            </w:tcMar>
          </w:tcPr>
          <w:p>
            <w:r>
              <w:rPr>
                <w:b/>
                <w:color w:val="000000"/>
                <w:sz w:val="18"/>
              </w:rPr>
              <w:t>Section Title</w:t>
            </w:r>
          </w:p>
        </w:tc>
        <w:tc>
          <w:tcPr>
            <w:tcW w:type="dxa" w:w="5083"/>
            <w:vAlign w:val="center"/>
            <w:shd w:fill="FFFFFF"/>
            <w:tcMar>
              <w:top w:w="90" w:type="dxa"/>
              <w:start w:w="120" w:type="dxa"/>
              <w:bottom w:w="90" w:type="dxa"/>
              <w:end w:w="120" w:type="dxa"/>
            </w:tcMar>
          </w:tcPr>
          <w:p>
            <w:r>
              <w:rPr>
                <w:b w:val="0"/>
                <w:color w:val="000000"/>
                <w:sz w:val="18"/>
              </w:rPr>
              <w:t>Implementation Rollout Rollback and Risks</w:t>
            </w:r>
          </w:p>
        </w:tc>
      </w:tr>
      <w:tr>
        <w:tc>
          <w:tcPr>
            <w:tcW w:type="dxa" w:w="5083"/>
            <w:vAlign w:val="center"/>
            <w:shd w:fill="F2F2F2"/>
            <w:tcMar>
              <w:top w:w="90" w:type="dxa"/>
              <w:start w:w="120" w:type="dxa"/>
              <w:bottom w:w="90" w:type="dxa"/>
              <w:end w:w="120" w:type="dxa"/>
            </w:tcMar>
          </w:tcPr>
          <w:p>
            <w:r>
              <w:rPr>
                <w:b/>
                <w:color w:val="000000"/>
                <w:sz w:val="18"/>
              </w:rPr>
              <w:t>Repository</w:t>
            </w:r>
          </w:p>
        </w:tc>
        <w:tc>
          <w:tcPr>
            <w:tcW w:type="dxa" w:w="5083"/>
            <w:vAlign w:val="center"/>
            <w:shd w:fill="FFFFFF"/>
            <w:tcMar>
              <w:top w:w="90" w:type="dxa"/>
              <w:start w:w="120" w:type="dxa"/>
              <w:bottom w:w="90" w:type="dxa"/>
              <w:end w:w="120" w:type="dxa"/>
            </w:tcMar>
          </w:tcPr>
          <w:p>
            <w:r>
              <w:rPr>
                <w:b w:val="0"/>
                <w:color w:val="000000"/>
                <w:sz w:val="18"/>
              </w:rPr>
              <w:t>C:/xampp/htdocs/POS-DGFY/.worktrees/StagingPOS</w:t>
            </w:r>
          </w:p>
        </w:tc>
      </w:tr>
      <w:tr>
        <w:tc>
          <w:tcPr>
            <w:tcW w:type="dxa" w:w="5083"/>
            <w:vAlign w:val="center"/>
            <w:shd w:fill="F2F2F2"/>
            <w:tcMar>
              <w:top w:w="90" w:type="dxa"/>
              <w:start w:w="120" w:type="dxa"/>
              <w:bottom w:w="90" w:type="dxa"/>
              <w:end w:w="120" w:type="dxa"/>
            </w:tcMar>
          </w:tcPr>
          <w:p>
            <w:r>
              <w:rPr>
                <w:b/>
                <w:color w:val="000000"/>
                <w:sz w:val="18"/>
              </w:rPr>
              <w:t>Branch and baseline</w:t>
            </w:r>
          </w:p>
        </w:tc>
        <w:tc>
          <w:tcPr>
            <w:tcW w:type="dxa" w:w="5083"/>
            <w:vAlign w:val="center"/>
            <w:shd w:fill="FFFFFF"/>
            <w:tcMar>
              <w:top w:w="90" w:type="dxa"/>
              <w:start w:w="120" w:type="dxa"/>
              <w:bottom w:w="90" w:type="dxa"/>
              <w:end w:w="120" w:type="dxa"/>
            </w:tcMar>
          </w:tcPr>
          <w:p>
            <w:r>
              <w:rPr>
                <w:b w:val="0"/>
                <w:color w:val="000000"/>
                <w:sz w:val="18"/>
              </w:rPr>
              <w:t>StagingPOS at cccf6a942e7ba51e3ffaa9ff405f785cf13e389a</w:t>
            </w:r>
          </w:p>
        </w:tc>
      </w:tr>
      <w:tr>
        <w:tc>
          <w:tcPr>
            <w:tcW w:type="dxa" w:w="5083"/>
            <w:vAlign w:val="center"/>
            <w:shd w:fill="F2F2F2"/>
            <w:tcMar>
              <w:top w:w="90" w:type="dxa"/>
              <w:start w:w="120" w:type="dxa"/>
              <w:bottom w:w="90" w:type="dxa"/>
              <w:end w:w="120" w:type="dxa"/>
            </w:tcMar>
          </w:tcPr>
          <w:p>
            <w:r>
              <w:rPr>
                <w:b/>
                <w:color w:val="000000"/>
                <w:sz w:val="18"/>
              </w:rPr>
              <w:t>Plan status</w:t>
            </w:r>
          </w:p>
        </w:tc>
        <w:tc>
          <w:tcPr>
            <w:tcW w:type="dxa" w:w="5083"/>
            <w:vAlign w:val="center"/>
            <w:shd w:fill="FFFFFF"/>
            <w:tcMar>
              <w:top w:w="90" w:type="dxa"/>
              <w:start w:w="120" w:type="dxa"/>
              <w:bottom w:w="90" w:type="dxa"/>
              <w:end w:w="120" w:type="dxa"/>
            </w:tcMar>
          </w:tcPr>
          <w:p>
            <w:r>
              <w:rPr>
                <w:b w:val="0"/>
                <w:color w:val="000000"/>
                <w:sz w:val="18"/>
              </w:rPr>
              <w:t>Planning artifact only no implementation or release action</w:t>
            </w:r>
          </w:p>
        </w:tc>
      </w:tr>
    </w:tbl>
    <w:p/>
    <w:p>
      <w:pPr>
        <w:pStyle w:val="Heading1"/>
        <w:keepNext/>
      </w:pPr>
      <w:r>
        <w:rPr>
          <w:b/>
          <w:color w:val="000000"/>
          <w:sz w:val="30"/>
        </w:rPr>
        <w:t>Purpose</w:t>
      </w:r>
    </w:p>
    <w:p>
      <w:pPr>
        <w:spacing w:after="120" w:line="259" w:lineRule="auto"/>
      </w:pPr>
      <w:r>
        <w:rPr>
          <w:color w:val="000000"/>
        </w:rPr>
        <w:t>Turn the confirmed design into an implementation sequence with explicit dependencies, stop conditions, rollout monitoring and data-safe rollback.</w:t>
      </w:r>
    </w:p>
    <w:p>
      <w:pPr>
        <w:pStyle w:val="Heading1"/>
        <w:keepNext/>
      </w:pPr>
      <w:r>
        <w:rPr>
          <w:b/>
          <w:color w:val="000000"/>
          <w:sz w:val="30"/>
        </w:rPr>
        <w:t>Dependencies</w:t>
      </w:r>
    </w:p>
    <w:p>
      <w:pPr>
        <w:pStyle w:val="ListBullet"/>
        <w:spacing w:after="60" w:line="252" w:lineRule="auto"/>
      </w:pPr>
      <w:r>
        <w:rPr>
          <w:color w:val="000000"/>
          <w:sz w:val="20"/>
        </w:rPr>
        <w:t>01 through 05 plan sections</w:t>
      </w:r>
    </w:p>
    <w:p>
      <w:pPr>
        <w:pStyle w:val="ListBullet"/>
        <w:spacing w:after="60" w:line="252" w:lineRule="auto"/>
      </w:pPr>
      <w:r>
        <w:rPr>
          <w:color w:val="000000"/>
          <w:sz w:val="20"/>
        </w:rPr>
        <w:t>Authoritative implementation phase ledger and Phase 347 completion</w:t>
      </w:r>
    </w:p>
    <w:p>
      <w:pPr>
        <w:pStyle w:val="ListBullet"/>
        <w:spacing w:after="60" w:line="252" w:lineRule="auto"/>
      </w:pPr>
      <w:r>
        <w:rPr>
          <w:color w:val="000000"/>
          <w:sz w:val="20"/>
        </w:rPr>
        <w:t>Repository pull request, architecture, testing and release policies</w:t>
      </w:r>
    </w:p>
    <w:p>
      <w:pPr>
        <w:pStyle w:val="Heading1"/>
        <w:keepNext/>
      </w:pPr>
      <w:r>
        <w:rPr>
          <w:b/>
          <w:color w:val="000000"/>
          <w:sz w:val="30"/>
        </w:rPr>
        <w:t>Confirmed Facts</w:t>
      </w:r>
    </w:p>
    <w:p>
      <w:pPr>
        <w:pStyle w:val="ListBullet"/>
        <w:spacing w:after="60" w:line="252" w:lineRule="auto"/>
      </w:pPr>
      <w:r>
        <w:rPr>
          <w:color w:val="000000"/>
          <w:sz w:val="20"/>
        </w:rPr>
        <w:t>The change is read-path focused and no migration is currently expected.</w:t>
      </w:r>
    </w:p>
    <w:p>
      <w:pPr>
        <w:pStyle w:val="ListBullet"/>
        <w:spacing w:after="60" w:line="252" w:lineRule="auto"/>
      </w:pPr>
      <w:r>
        <w:rPr>
          <w:color w:val="000000"/>
          <w:sz w:val="20"/>
        </w:rPr>
        <w:t>The current branch is dirty with unrelated work; implementation must not reset or absorb those edits.</w:t>
      </w:r>
    </w:p>
    <w:p>
      <w:pPr>
        <w:pStyle w:val="ListBullet"/>
        <w:spacing w:after="60" w:line="252" w:lineRule="auto"/>
      </w:pPr>
      <w:r>
        <w:rPr>
          <w:color w:val="000000"/>
          <w:sz w:val="20"/>
        </w:rPr>
        <w:t>Financial report correctness is release-sensitive even when no database schema changes are made.</w:t>
      </w:r>
    </w:p>
    <w:p>
      <w:pPr>
        <w:pStyle w:val="ListBullet"/>
        <w:spacing w:after="60" w:line="252" w:lineRule="auto"/>
      </w:pPr>
      <w:r>
        <w:rPr>
          <w:color w:val="000000"/>
          <w:sz w:val="20"/>
        </w:rPr>
        <w:t>A rollback to the prior application version should not change stored shift, cash-event, transaction or handoff data.</w:t>
      </w:r>
    </w:p>
    <w:p>
      <w:pPr>
        <w:pStyle w:val="Heading1"/>
        <w:keepNext/>
      </w:pPr>
      <w:r>
        <w:rPr>
          <w:b/>
          <w:color w:val="000000"/>
          <w:sz w:val="30"/>
        </w:rPr>
        <w:t>Assumptions</w:t>
      </w:r>
    </w:p>
    <w:p>
      <w:pPr>
        <w:pStyle w:val="ListBullet"/>
        <w:spacing w:after="60" w:line="252" w:lineRule="auto"/>
      </w:pPr>
      <w:r>
        <w:rPr>
          <w:color w:val="000000"/>
          <w:sz w:val="20"/>
        </w:rPr>
        <w:t>Global Phase 348 remains a candidate until Phase 347 is complete and the ledger is reconciled.</w:t>
      </w:r>
    </w:p>
    <w:p>
      <w:pPr>
        <w:pStyle w:val="ListBullet"/>
        <w:spacing w:after="60" w:line="252" w:lineRule="auto"/>
      </w:pPr>
      <w:r>
        <w:rPr>
          <w:color w:val="000000"/>
          <w:sz w:val="20"/>
        </w:rPr>
        <w:t>The implementation batch can be reviewed and released as one compatible backend/shared-frontend change.</w:t>
      </w:r>
    </w:p>
    <w:p>
      <w:pPr>
        <w:pStyle w:val="ListBullet"/>
        <w:spacing w:after="60" w:line="252" w:lineRule="auto"/>
      </w:pPr>
      <w:r>
        <w:rPr>
          <w:color w:val="000000"/>
          <w:sz w:val="20"/>
        </w:rPr>
        <w:t>If the read-only audit proves persisted source values are wrong, the fix remains display-safe and a separate repair initiative is opened.</w:t>
      </w:r>
    </w:p>
    <w:p>
      <w:pPr>
        <w:pStyle w:val="Heading1"/>
        <w:keepNext/>
      </w:pPr>
      <w:r>
        <w:rPr>
          <w:b/>
          <w:color w:val="000000"/>
          <w:sz w:val="30"/>
        </w:rPr>
        <w:t>Requirements Covered</w:t>
      </w:r>
    </w:p>
    <w:p>
      <w:pPr>
        <w:pStyle w:val="ListBullet"/>
        <w:spacing w:after="60" w:line="252" w:lineRule="auto"/>
      </w:pPr>
      <w:r>
        <w:rPr>
          <w:color w:val="000000"/>
          <w:sz w:val="20"/>
        </w:rPr>
        <w:t>RRF-01 through RRF-06</w:t>
      </w:r>
    </w:p>
    <w:p>
      <w:pPr>
        <w:pStyle w:val="ListBullet"/>
        <w:spacing w:after="60" w:line="252" w:lineRule="auto"/>
      </w:pPr>
      <w:r>
        <w:rPr>
          <w:color w:val="000000"/>
          <w:sz w:val="20"/>
        </w:rPr>
        <w:t>RRF-OPS-001 to RRF-OPS-005</w:t>
      </w:r>
    </w:p>
    <w:p>
      <w:pPr>
        <w:pStyle w:val="ListBullet"/>
        <w:spacing w:after="60" w:line="252" w:lineRule="auto"/>
      </w:pPr>
      <w:r>
        <w:rPr>
          <w:color w:val="000000"/>
          <w:sz w:val="20"/>
        </w:rPr>
        <w:t>All requirements, business rules and acceptance criteria in the earlier sections</w:t>
      </w:r>
    </w:p>
    <w:p>
      <w:pPr>
        <w:pStyle w:val="Heading1"/>
        <w:keepNext/>
      </w:pPr>
      <w:r>
        <w:rPr>
          <w:b/>
          <w:color w:val="000000"/>
          <w:sz w:val="30"/>
        </w:rPr>
        <w:t>Implementation Order</w:t>
      </w:r>
    </w:p>
    <w:tbl>
      <w:tblPr>
        <w:tblW w:type="auto" w:w="0"/>
        <w:jc w:val="left"/>
        <w:tblLayout w:type="autofit"/>
        <w:tblLook w:firstColumn="1" w:firstRow="1" w:lastColumn="0" w:lastRow="0" w:noHBand="0" w:noVBand="1" w:val="04A0"/>
      </w:tblPr>
      <w:tblGrid>
        <w:gridCol w:w="3389"/>
        <w:gridCol w:w="3389"/>
        <w:gridCol w:w="3389"/>
      </w:tblGrid>
      <w:tr>
        <w:tc>
          <w:tcPr>
            <w:tcW w:type="dxa" w:w="3389"/>
            <w:shd w:fill="1F4E79"/>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b/>
                <w:color w:val="FFFFFF"/>
                <w:sz w:val="18"/>
              </w:rPr>
              <w:t>Phase</w:t>
            </w:r>
          </w:p>
        </w:tc>
        <w:tc>
          <w:tcPr>
            <w:tcW w:type="dxa" w:w="3389"/>
            <w:shd w:fill="1F4E79"/>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b/>
                <w:color w:val="FFFFFF"/>
                <w:sz w:val="18"/>
              </w:rPr>
              <w:t>Exact work</w:t>
            </w:r>
          </w:p>
        </w:tc>
        <w:tc>
          <w:tcPr>
            <w:tcW w:type="dxa" w:w="3389"/>
            <w:shd w:fill="1F4E79"/>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b/>
                <w:color w:val="FFFFFF"/>
                <w:sz w:val="18"/>
              </w:rPr>
              <w:t>Exit gate</w:t>
            </w:r>
          </w:p>
        </w:tc>
      </w:tr>
      <w:tr>
        <w:tc>
          <w:tcPr>
            <w:tcW w:type="dxa" w:w="3389"/>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RRF-01</w:t>
            </w:r>
          </w:p>
        </w:tc>
        <w:tc>
          <w:tcPr>
            <w:tcW w:type="dxa" w:w="3389"/>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Capture the staging API response and read-only shift audit for the screenshot filters. Freeze singular shift_id, variance and open-state contract.</w:t>
            </w:r>
          </w:p>
        </w:tc>
        <w:tc>
          <w:tcPr>
            <w:tcW w:type="dxa" w:w="3389"/>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Evidence identifies the defect and no-write audit passes</w:t>
            </w:r>
          </w:p>
        </w:tc>
      </w:tr>
      <w:tr>
        <w:tc>
          <w:tcPr>
            <w:tcW w:type="dxa" w:w="3389"/>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RRF-02</w:t>
            </w:r>
          </w:p>
        </w:tc>
        <w:tc>
          <w:tcPr>
            <w:tcW w:type="dxa" w:w="3389"/>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Refactor repository report construction so per-shift rows and cashier aggregates are separate collections.</w:t>
            </w:r>
          </w:p>
        </w:tc>
        <w:tc>
          <w:tcPr>
            <w:tcW w:type="dxa" w:w="3389"/>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Repository tests prove row grain and filter scope</w:t>
            </w:r>
          </w:p>
        </w:tc>
      </w:tr>
      <w:tr>
        <w:tc>
          <w:tcPr>
            <w:tcW w:type="dxa" w:w="3389"/>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RRF-03</w:t>
            </w:r>
          </w:p>
        </w:tc>
        <w:tc>
          <w:tcPr>
            <w:tcW w:type="dxa" w:w="3389"/>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Derive variance from expected and counted; handle null closing; record stored mismatch diagnostics; define aggregate completeness.</w:t>
            </w:r>
          </w:p>
        </w:tc>
        <w:tc>
          <w:tcPr>
            <w:tcW w:type="dxa" w:w="3389"/>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All arithmetic, null and mismatch tests pass</w:t>
            </w:r>
          </w:p>
        </w:tc>
      </w:tr>
      <w:tr>
        <w:tc>
          <w:tcPr>
            <w:tcW w:type="dxa" w:w="3389"/>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RRF-04</w:t>
            </w:r>
          </w:p>
        </w:tc>
        <w:tc>
          <w:tcPr>
            <w:tcW w:type="dxa" w:w="3389"/>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Update overview export and shared POS table to use singular shift_id; preserve no Actions and responsive behavior.</w:t>
            </w:r>
          </w:p>
        </w:tc>
        <w:tc>
          <w:tcPr>
            <w:tcW w:type="dxa" w:w="3389"/>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Frontend, export and API contract tests pass</w:t>
            </w:r>
          </w:p>
        </w:tc>
      </w:tr>
      <w:tr>
        <w:tc>
          <w:tcPr>
            <w:tcW w:type="dxa" w:w="3389"/>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RRF-05</w:t>
            </w:r>
          </w:p>
        </w:tc>
        <w:tc>
          <w:tcPr>
            <w:tcW w:type="dxa" w:w="3389"/>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Run full focused tests, architecture/docs checks, POS build, performance checks, security checks and authenticated staging UAT.</w:t>
            </w:r>
          </w:p>
        </w:tc>
        <w:tc>
          <w:tcPr>
            <w:tcW w:type="dxa" w:w="3389"/>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SHA-bound evidence packet passes</w:t>
            </w:r>
          </w:p>
        </w:tc>
      </w:tr>
      <w:tr>
        <w:tc>
          <w:tcPr>
            <w:tcW w:type="dxa" w:w="3389"/>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RRF-06</w:t>
            </w:r>
          </w:p>
        </w:tc>
        <w:tc>
          <w:tcPr>
            <w:tcW w:type="dxa" w:w="3389"/>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Deploy through the approved staging/release path, monitor anomaly and error signals, and close or roll back based on gates.</w:t>
            </w:r>
          </w:p>
        </w:tc>
        <w:tc>
          <w:tcPr>
            <w:tcW w:type="dxa" w:w="3389"/>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Release decision, monitoring and rollback evidence recorded</w:t>
            </w:r>
          </w:p>
        </w:tc>
      </w:tr>
    </w:tbl>
    <w:p/>
    <w:p>
      <w:pPr>
        <w:spacing w:after="120" w:line="259" w:lineRule="auto"/>
      </w:pPr>
      <w:r>
        <w:rPr>
          <w:color w:val="000000"/>
        </w:rPr>
        <w:t>These local phases map to candidate global Phase 348. They do not authorize implementation while global Phase 347 remains in_progress.</w:t>
      </w:r>
    </w:p>
    <w:p>
      <w:pPr>
        <w:pStyle w:val="Heading1"/>
        <w:keepNext/>
      </w:pPr>
      <w:r>
        <w:rPr>
          <w:b/>
          <w:color w:val="000000"/>
          <w:sz w:val="30"/>
        </w:rPr>
        <w:t>Change Inventory</w:t>
      </w:r>
    </w:p>
    <w:tbl>
      <w:tblPr>
        <w:tblW w:type="auto" w:w="0"/>
        <w:jc w:val="left"/>
        <w:tblLayout w:type="autofit"/>
        <w:tblLook w:firstColumn="1" w:firstRow="1" w:lastColumn="0" w:lastRow="0" w:noHBand="0" w:noVBand="1" w:val="04A0"/>
      </w:tblPr>
      <w:tblGrid>
        <w:gridCol w:w="5083"/>
        <w:gridCol w:w="5083"/>
      </w:tblGrid>
      <w:tr>
        <w:tc>
          <w:tcPr>
            <w:tcW w:type="dxa" w:w="5083"/>
            <w:shd w:fill="1F4E79"/>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b/>
                <w:color w:val="FFFFFF"/>
                <w:sz w:val="18"/>
              </w:rPr>
              <w:t>Domain</w:t>
            </w:r>
          </w:p>
        </w:tc>
        <w:tc>
          <w:tcPr>
            <w:tcW w:type="dxa" w:w="5083"/>
            <w:shd w:fill="1F4E79"/>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b/>
                <w:color w:val="FFFFFF"/>
                <w:sz w:val="18"/>
              </w:rPr>
              <w:t>Expected files or surfaces</w:t>
            </w:r>
          </w:p>
        </w:tc>
      </w:tr>
      <w:tr>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Backend</w:t>
            </w:r>
          </w:p>
        </w:tc>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posRepository.js, posUseCases.js, optional repository contract, report tests</w:t>
            </w:r>
          </w:p>
        </w:tc>
      </w:tr>
      <w:tr>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Frontend</w:t>
            </w:r>
          </w:p>
        </w:tc>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PosReportsRegistersTable.jsx, focused behavior/contract tests, only necessary workspace mapping</w:t>
            </w:r>
          </w:p>
        </w:tc>
      </w:tr>
      <w:tr>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API documentation</w:t>
            </w:r>
          </w:p>
        </w:tc>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docs/api/specification.md if response shape is not already documented</w:t>
            </w:r>
          </w:p>
        </w:tc>
      </w:tr>
      <w:tr>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Evidence</w:t>
            </w:r>
          </w:p>
        </w:tc>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Read-only audit output, test logs, screenshots, CSV fixture and candidate SHA manifest</w:t>
            </w:r>
          </w:p>
        </w:tc>
      </w:tr>
      <w:tr>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Database</w:t>
            </w:r>
          </w:p>
        </w:tc>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No migration or write-back by default</w:t>
            </w:r>
          </w:p>
        </w:tc>
      </w:tr>
    </w:tbl>
    <w:p/>
    <w:p>
      <w:pPr>
        <w:pStyle w:val="Heading1"/>
        <w:keepNext/>
      </w:pPr>
      <w:r>
        <w:rPr>
          <w:b/>
          <w:color w:val="000000"/>
          <w:sz w:val="30"/>
        </w:rPr>
        <w:t>Rollout Plan</w:t>
      </w:r>
    </w:p>
    <w:p>
      <w:pPr>
        <w:pStyle w:val="ListNumber"/>
        <w:spacing w:after="60" w:line="252" w:lineRule="auto"/>
      </w:pPr>
      <w:r>
        <w:rPr>
          <w:color w:val="000000"/>
          <w:sz w:val="20"/>
        </w:rPr>
        <w:t>Verify the candidate branch contains only the intended implementation and documentation changes; preserve existing user work outside the batch.</w:t>
      </w:r>
    </w:p>
    <w:p>
      <w:pPr>
        <w:pStyle w:val="ListNumber"/>
        <w:spacing w:after="60" w:line="252" w:lineRule="auto"/>
      </w:pPr>
      <w:r>
        <w:rPr>
          <w:color w:val="000000"/>
          <w:sz w:val="20"/>
        </w:rPr>
        <w:t>Run focused local tests and architecture/docs/compliance gates before creating or updating a PR.</w:t>
      </w:r>
    </w:p>
    <w:p>
      <w:pPr>
        <w:pStyle w:val="ListNumber"/>
        <w:spacing w:after="60" w:line="252" w:lineRule="auto"/>
      </w:pPr>
      <w:r>
        <w:rPr>
          <w:color w:val="000000"/>
          <w:sz w:val="20"/>
        </w:rPr>
        <w:t>Deploy to the approved staging target using the repository release procedure; do not deploy directly to production from this plan.</w:t>
      </w:r>
    </w:p>
    <w:p>
      <w:pPr>
        <w:pStyle w:val="ListNumber"/>
        <w:spacing w:after="60" w:line="252" w:lineRule="auto"/>
      </w:pPr>
      <w:r>
        <w:rPr>
          <w:color w:val="000000"/>
          <w:sz w:val="20"/>
        </w:rPr>
        <w:t>Run authenticated Admin UAT with a known multi-shift same-cashier fixture and the screenshot-shaped mismatch case.</w:t>
      </w:r>
    </w:p>
    <w:p>
      <w:pPr>
        <w:pStyle w:val="ListNumber"/>
        <w:spacing w:after="60" w:line="252" w:lineRule="auto"/>
      </w:pPr>
      <w:r>
        <w:rPr>
          <w:color w:val="000000"/>
          <w:sz w:val="20"/>
        </w:rPr>
        <w:t>Monitor report 4xx/5xx rate, p50/p95 latency, response row counts, stored-versus-derived mismatch count, empty-scope rate and export failures.</w:t>
      </w:r>
    </w:p>
    <w:p>
      <w:pPr>
        <w:pStyle w:val="ListNumber"/>
        <w:spacing w:after="60" w:line="252" w:lineRule="auto"/>
      </w:pPr>
      <w:r>
        <w:rPr>
          <w:color w:val="000000"/>
          <w:sz w:val="20"/>
        </w:rPr>
        <w:t>Promote only when the candidate SHA, staging evidence, review and repository release gates are complete.</w:t>
      </w:r>
    </w:p>
    <w:p>
      <w:pPr>
        <w:pStyle w:val="Heading1"/>
        <w:keepNext/>
      </w:pPr>
      <w:r>
        <w:rPr>
          <w:b/>
          <w:color w:val="000000"/>
          <w:sz w:val="30"/>
        </w:rPr>
        <w:t>Stop Conditions</w:t>
      </w:r>
    </w:p>
    <w:p>
      <w:pPr>
        <w:pStyle w:val="ListBullet"/>
        <w:spacing w:after="60" w:line="252" w:lineRule="auto"/>
      </w:pPr>
      <w:r>
        <w:rPr>
          <w:color w:val="000000"/>
          <w:sz w:val="20"/>
        </w:rPr>
        <w:t>Any closed row still violates variance = counted - expected.</w:t>
      </w:r>
    </w:p>
    <w:p>
      <w:pPr>
        <w:pStyle w:val="ListBullet"/>
        <w:spacing w:after="60" w:line="252" w:lineRule="auto"/>
      </w:pPr>
      <w:r>
        <w:rPr>
          <w:color w:val="000000"/>
          <w:sz w:val="20"/>
        </w:rPr>
        <w:t>Any counted amount lower than expected is labeled Over.</w:t>
      </w:r>
    </w:p>
    <w:p>
      <w:pPr>
        <w:pStyle w:val="ListBullet"/>
        <w:spacing w:after="60" w:line="252" w:lineRule="auto"/>
      </w:pPr>
      <w:r>
        <w:rPr>
          <w:color w:val="000000"/>
          <w:sz w:val="20"/>
        </w:rPr>
        <w:t>Any register row contains more than one shift identity.</w:t>
      </w:r>
    </w:p>
    <w:p>
      <w:pPr>
        <w:pStyle w:val="ListBullet"/>
        <w:spacing w:after="60" w:line="252" w:lineRule="auto"/>
      </w:pPr>
      <w:r>
        <w:rPr>
          <w:color w:val="000000"/>
          <w:sz w:val="20"/>
        </w:rPr>
        <w:t>Cross-tenant, cross-branch or unauthorized terminal data appears.</w:t>
      </w:r>
    </w:p>
    <w:p>
      <w:pPr>
        <w:pStyle w:val="ListBullet"/>
        <w:spacing w:after="60" w:line="252" w:lineRule="auto"/>
      </w:pPr>
      <w:r>
        <w:rPr>
          <w:color w:val="000000"/>
          <w:sz w:val="20"/>
        </w:rPr>
        <w:t>The report path mutates a shift, cash event, transaction or handoff during audit or UAT.</w:t>
      </w:r>
    </w:p>
    <w:p>
      <w:pPr>
        <w:pStyle w:val="ListBullet"/>
        <w:spacing w:after="60" w:line="252" w:lineRule="auto"/>
      </w:pPr>
      <w:r>
        <w:rPr>
          <w:color w:val="000000"/>
          <w:sz w:val="20"/>
        </w:rPr>
        <w:t>Focused tests, architecture checks or the POS build fail without an understood and reviewed cause.</w:t>
      </w:r>
    </w:p>
    <w:p>
      <w:pPr>
        <w:pStyle w:val="ListBullet"/>
        <w:spacing w:after="60" w:line="252" w:lineRule="auto"/>
      </w:pPr>
      <w:r>
        <w:rPr>
          <w:color w:val="000000"/>
          <w:sz w:val="20"/>
        </w:rPr>
        <w:t>Latency, error rate or database query count regresses beyond the agreed report budget.</w:t>
      </w:r>
    </w:p>
    <w:p>
      <w:pPr>
        <w:pStyle w:val="ListBullet"/>
        <w:spacing w:after="60" w:line="252" w:lineRule="auto"/>
      </w:pPr>
      <w:r>
        <w:rPr>
          <w:color w:val="000000"/>
          <w:sz w:val="20"/>
        </w:rPr>
        <w:t>The stored mismatch count indicates a broader accounting-data problem that needs a separate repair decision.</w:t>
      </w:r>
    </w:p>
    <w:p>
      <w:pPr>
        <w:pStyle w:val="Heading1"/>
        <w:keepNext/>
      </w:pPr>
      <w:r>
        <w:rPr>
          <w:b/>
          <w:color w:val="000000"/>
          <w:sz w:val="30"/>
        </w:rPr>
        <w:t>Rollback Conditions</w:t>
      </w:r>
    </w:p>
    <w:p>
      <w:pPr>
        <w:pStyle w:val="ListBullet"/>
        <w:spacing w:after="60" w:line="252" w:lineRule="auto"/>
      </w:pPr>
      <w:r>
        <w:rPr>
          <w:color w:val="000000"/>
          <w:sz w:val="20"/>
        </w:rPr>
        <w:t>Rollback if staging or production report values are less trustworthy than the pre-change response, even if application health checks are green.</w:t>
      </w:r>
    </w:p>
    <w:p>
      <w:pPr>
        <w:pStyle w:val="ListBullet"/>
        <w:spacing w:after="60" w:line="252" w:lineRule="auto"/>
      </w:pPr>
      <w:r>
        <w:rPr>
          <w:color w:val="000000"/>
          <w:sz w:val="20"/>
        </w:rPr>
        <w:t>Rollback if the response contract breaks an approved client or export consumer and the compatibility transition cannot be completed safely.</w:t>
      </w:r>
    </w:p>
    <w:p>
      <w:pPr>
        <w:pStyle w:val="ListBullet"/>
        <w:spacing w:after="60" w:line="252" w:lineRule="auto"/>
      </w:pPr>
      <w:r>
        <w:rPr>
          <w:color w:val="000000"/>
          <w:sz w:val="20"/>
        </w:rPr>
        <w:t>Rollback if authorization scope or branch-view read-only behavior regresses.</w:t>
      </w:r>
    </w:p>
    <w:p>
      <w:pPr>
        <w:pStyle w:val="ListBullet"/>
        <w:spacing w:after="60" w:line="252" w:lineRule="auto"/>
      </w:pPr>
      <w:r>
        <w:rPr>
          <w:color w:val="000000"/>
          <w:sz w:val="20"/>
        </w:rPr>
        <w:t>Rollback the application version only; do not roll back or modify shift, transaction, cash-event or handoff data because this plan contains no data migration.</w:t>
      </w:r>
    </w:p>
    <w:p>
      <w:pPr>
        <w:pStyle w:val="Heading1"/>
        <w:keepNext/>
      </w:pPr>
      <w:r>
        <w:rPr>
          <w:b/>
          <w:color w:val="000000"/>
          <w:sz w:val="30"/>
        </w:rPr>
        <w:t>Recovery Strategy</w:t>
      </w:r>
    </w:p>
    <w:p>
      <w:pPr>
        <w:pStyle w:val="ListBullet"/>
        <w:spacing w:after="60" w:line="252" w:lineRule="auto"/>
      </w:pPr>
      <w:r>
        <w:rPr>
          <w:color w:val="000000"/>
          <w:sz w:val="20"/>
        </w:rPr>
        <w:t>Restore the previous compatible backend/frontend candidate and confirm report availability.</w:t>
      </w:r>
    </w:p>
    <w:p>
      <w:pPr>
        <w:pStyle w:val="ListBullet"/>
        <w:spacing w:after="60" w:line="252" w:lineRule="auto"/>
      </w:pPr>
      <w:r>
        <w:rPr>
          <w:color w:val="000000"/>
          <w:sz w:val="20"/>
        </w:rPr>
        <w:t>Retain the read-only before/after API payloads, anomaly audit and logs for diagnosis.</w:t>
      </w:r>
    </w:p>
    <w:p>
      <w:pPr>
        <w:pStyle w:val="ListBullet"/>
        <w:spacing w:after="60" w:line="252" w:lineRule="auto"/>
      </w:pPr>
      <w:r>
        <w:rPr>
          <w:color w:val="000000"/>
          <w:sz w:val="20"/>
        </w:rPr>
        <w:t>Re-run the arithmetic and authorization smoke tests against the rolled-back version.</w:t>
      </w:r>
    </w:p>
    <w:p>
      <w:pPr>
        <w:pStyle w:val="ListBullet"/>
        <w:spacing w:after="60" w:line="252" w:lineRule="auto"/>
      </w:pPr>
      <w:r>
        <w:rPr>
          <w:color w:val="000000"/>
          <w:sz w:val="20"/>
        </w:rPr>
        <w:t>Open a follow-up repair plan if source data or persisted variance values require correction; do not patch historical rows during rollback.</w:t>
      </w:r>
    </w:p>
    <w:p>
      <w:pPr>
        <w:pStyle w:val="Heading1"/>
        <w:keepNext/>
      </w:pPr>
      <w:r>
        <w:rPr>
          <w:b/>
          <w:color w:val="000000"/>
          <w:sz w:val="30"/>
        </w:rPr>
        <w:t>Risks and Mitigations</w:t>
      </w:r>
    </w:p>
    <w:tbl>
      <w:tblPr>
        <w:tblW w:type="auto" w:w="0"/>
        <w:jc w:val="left"/>
        <w:tblLayout w:type="autofit"/>
        <w:tblLook w:firstColumn="1" w:firstRow="1" w:lastColumn="0" w:lastRow="0" w:noHBand="0" w:noVBand="1" w:val="04A0"/>
      </w:tblPr>
      <w:tblGrid>
        <w:gridCol w:w="5083"/>
        <w:gridCol w:w="5083"/>
      </w:tblGrid>
      <w:tr>
        <w:tc>
          <w:tcPr>
            <w:tcW w:type="dxa" w:w="5083"/>
            <w:shd w:fill="1F4E79"/>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b/>
                <w:color w:val="FFFFFF"/>
                <w:sz w:val="18"/>
              </w:rPr>
              <w:t>Risk</w:t>
            </w:r>
          </w:p>
        </w:tc>
        <w:tc>
          <w:tcPr>
            <w:tcW w:type="dxa" w:w="5083"/>
            <w:shd w:fill="1F4E79"/>
            <w:tcMar>
              <w:top w:w="100" w:type="dxa"/>
              <w:start w:w="110" w:type="dxa"/>
              <w:bottom w:w="10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b/>
                <w:color w:val="FFFFFF"/>
                <w:sz w:val="18"/>
              </w:rPr>
              <w:t>Mitigation and owner</w:t>
            </w:r>
          </w:p>
        </w:tc>
      </w:tr>
      <w:tr>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Phase overlap with 347</w:t>
            </w:r>
          </w:p>
        </w:tc>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Reconcile the authoritative ledger before implementation; owner is release coordinator</w:t>
            </w:r>
          </w:p>
        </w:tc>
      </w:tr>
      <w:tr>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Dirty worktree contamination</w:t>
            </w:r>
          </w:p>
        </w:tc>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Use a clean isolated implementation branch/worktree and inventory all files before staging; owner is implementer</w:t>
            </w:r>
          </w:p>
        </w:tc>
      </w:tr>
      <w:tr>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Financial display error</w:t>
            </w:r>
          </w:p>
        </w:tc>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Backend invariant, regression fixture, staging UAT and monitoring; owner is backend plus QA</w:t>
            </w:r>
          </w:p>
        </w:tc>
      </w:tr>
      <w:tr>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Response incompatibility</w:t>
            </w:r>
          </w:p>
        </w:tc>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Consumer search, additive transition if proven necessary, synchronized release; owner is backend/frontend</w:t>
            </w:r>
          </w:p>
        </w:tc>
      </w:tr>
      <w:tr>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Historical source inconsistency</w:t>
            </w:r>
          </w:p>
        </w:tc>
        <w:tc>
          <w:tcPr>
            <w:tcW w:type="dxa" w:w="5083"/>
            <w:shd w:fill="FFFFFF"/>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Read-only audit and separate repair plan; owner is data/accounting approver</w:t>
            </w:r>
          </w:p>
        </w:tc>
      </w:tr>
      <w:tr>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Scope leakage</w:t>
            </w:r>
          </w:p>
        </w:tc>
        <w:tc>
          <w:tcPr>
            <w:tcW w:type="dxa" w:w="5083"/>
            <w:shd w:fill="F2F2F2"/>
            <w:tcMar>
              <w:top w:w="95" w:type="dxa"/>
              <w:start w:w="110" w:type="dxa"/>
              <w:bottom w:w="95"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color w:val="000000"/>
                <w:sz w:val="17"/>
              </w:rPr>
              <w:t>Existing authorization path plus cross-scope tests; owner is backend/security reviewer</w:t>
            </w:r>
          </w:p>
        </w:tc>
      </w:tr>
    </w:tbl>
    <w:p/>
    <w:p>
      <w:pPr>
        <w:pStyle w:val="Heading1"/>
        <w:keepNext/>
      </w:pPr>
      <w:r>
        <w:rPr>
          <w:b/>
          <w:color w:val="000000"/>
          <w:sz w:val="30"/>
        </w:rPr>
        <w:t>Tests Required</w:t>
      </w:r>
    </w:p>
    <w:p>
      <w:pPr>
        <w:pStyle w:val="ListBullet"/>
        <w:spacing w:after="60" w:line="252" w:lineRule="auto"/>
      </w:pPr>
      <w:r>
        <w:rPr>
          <w:color w:val="000000"/>
          <w:sz w:val="20"/>
        </w:rPr>
        <w:t>Complete the focused backend, frontend, export, architecture, documentation, security and performance tests defined in Section 05.</w:t>
      </w:r>
    </w:p>
    <w:p>
      <w:pPr>
        <w:pStyle w:val="ListBullet"/>
        <w:spacing w:after="60" w:line="252" w:lineRule="auto"/>
      </w:pPr>
      <w:r>
        <w:rPr>
          <w:color w:val="000000"/>
          <w:sz w:val="20"/>
        </w:rPr>
        <w:t>Run the screenshot-shaped staging UAT and record the candidate SHA before rollout.</w:t>
      </w:r>
    </w:p>
    <w:p>
      <w:pPr>
        <w:pStyle w:val="ListBullet"/>
        <w:spacing w:after="60" w:line="252" w:lineRule="auto"/>
      </w:pPr>
      <w:r>
        <w:rPr>
          <w:color w:val="000000"/>
          <w:sz w:val="20"/>
        </w:rPr>
        <w:t>Verify application-only rollback leaves shift, transaction, cash-event and handoff data unchanged.</w:t>
      </w:r>
    </w:p>
    <w:p>
      <w:pPr>
        <w:pStyle w:val="Heading1"/>
        <w:keepNext/>
      </w:pPr>
      <w:r>
        <w:rPr>
          <w:b/>
          <w:color w:val="000000"/>
          <w:sz w:val="30"/>
        </w:rPr>
        <w:t>Acceptance Criteria</w:t>
      </w:r>
    </w:p>
    <w:p>
      <w:pPr>
        <w:pStyle w:val="ListBullet"/>
        <w:spacing w:after="60" w:line="252" w:lineRule="auto"/>
      </w:pPr>
      <w:r>
        <w:rPr>
          <w:color w:val="000000"/>
          <w:sz w:val="20"/>
        </w:rPr>
        <w:t>Implementation follows RRF-01 through RRF-06 in order and records the exit evidence for each.</w:t>
      </w:r>
    </w:p>
    <w:p>
      <w:pPr>
        <w:pStyle w:val="ListBullet"/>
        <w:spacing w:after="60" w:line="252" w:lineRule="auto"/>
      </w:pPr>
      <w:r>
        <w:rPr>
          <w:color w:val="000000"/>
          <w:sz w:val="20"/>
        </w:rPr>
        <w:t>No code or database change is released without the candidate SHA, focused tests, architecture checks and authenticated staging evidence.</w:t>
      </w:r>
    </w:p>
    <w:p>
      <w:pPr>
        <w:pStyle w:val="ListBullet"/>
        <w:spacing w:after="60" w:line="252" w:lineRule="auto"/>
      </w:pPr>
      <w:r>
        <w:rPr>
          <w:color w:val="000000"/>
          <w:sz w:val="20"/>
        </w:rPr>
        <w:t>Rollback is rehearsed or explicitly evidenced as application-only and data-safe.</w:t>
      </w:r>
    </w:p>
    <w:p>
      <w:pPr>
        <w:pStyle w:val="ListBullet"/>
        <w:spacing w:after="60" w:line="252" w:lineRule="auto"/>
      </w:pPr>
      <w:r>
        <w:rPr>
          <w:color w:val="000000"/>
          <w:sz w:val="20"/>
        </w:rPr>
        <w:t>The issue is closed only after the report arithmetic, row grain, export parity, scope and historical safety gates pass.</w:t>
      </w:r>
    </w:p>
    <w:p>
      <w:pPr>
        <w:pStyle w:val="Heading1"/>
        <w:keepNext/>
      </w:pPr>
      <w:r>
        <w:rPr>
          <w:b/>
          <w:color w:val="000000"/>
          <w:sz w:val="30"/>
        </w:rPr>
        <w:t>Execution Dependencies</w:t>
      </w:r>
    </w:p>
    <w:p>
      <w:pPr>
        <w:spacing w:after="120" w:line="259" w:lineRule="auto"/>
      </w:pPr>
      <w:r>
        <w:rPr>
          <w:color w:val="000000"/>
        </w:rPr>
        <w:t>The next eligible global phase is 348 after Phase 347 completion. The implementation session must read the current ledger again, read the repository PR conventions before any PR action, and keep plan creation separate from implementation, commit, merge and deployment authority.</w:t>
      </w:r>
    </w:p>
    <w:p>
      <w:pPr>
        <w:pStyle w:val="Heading1"/>
        <w:keepNext/>
      </w:pPr>
      <w:r>
        <w:rPr>
          <w:b/>
          <w:color w:val="000000"/>
          <w:sz w:val="30"/>
        </w:rPr>
        <w:t>Cross References</w:t>
      </w:r>
    </w:p>
    <w:p>
      <w:pPr>
        <w:pStyle w:val="ListBullet"/>
        <w:spacing w:after="60" w:line="252" w:lineRule="auto"/>
      </w:pPr>
      <w:r>
        <w:rPr>
          <w:color w:val="000000"/>
          <w:sz w:val="20"/>
        </w:rPr>
        <w:t>00_Master_Plan_Index.docx</w:t>
      </w:r>
    </w:p>
    <w:p>
      <w:pPr>
        <w:pStyle w:val="ListBullet"/>
        <w:spacing w:after="60" w:line="252" w:lineRule="auto"/>
      </w:pPr>
      <w:r>
        <w:rPr>
          <w:color w:val="000000"/>
          <w:sz w:val="20"/>
        </w:rPr>
        <w:t>05_Testing_Security_Data_Integrity_and_Evidence.docx</w:t>
      </w:r>
    </w:p>
    <w:p>
      <w:pPr>
        <w:pStyle w:val="ListBullet"/>
        <w:spacing w:after="60" w:line="252" w:lineRule="auto"/>
      </w:pPr>
      <w:r>
        <w:rPr>
          <w:color w:val="000000"/>
          <w:sz w:val="20"/>
        </w:rPr>
        <w:t>docs/features/IMPLEMENTATION_PHASE_LEDGER.md</w:t>
      </w:r>
    </w:p>
    <w:p>
      <w:pPr>
        <w:pStyle w:val="ListBullet"/>
        <w:spacing w:after="60" w:line="252" w:lineRule="auto"/>
      </w:pPr>
      <w:r>
        <w:rPr>
          <w:color w:val="000000"/>
          <w:sz w:val="20"/>
        </w:rPr>
        <w:t>docs/ai/PR.md</w:t>
      </w:r>
    </w:p>
    <w:p>
      <w:pPr>
        <w:pStyle w:val="ListBullet"/>
        <w:spacing w:after="60" w:line="252" w:lineRule="auto"/>
      </w:pPr>
      <w:r>
        <w:rPr>
          <w:color w:val="000000"/>
          <w:sz w:val="20"/>
        </w:rPr>
        <w:t>docs/ops/RELEASE_CANDIDATE_POLICY.md</w:t>
      </w:r>
    </w:p>
    <w:sectPr w:rsidR="00FC693F" w:rsidRPr="0006063C" w:rsidSect="00034616">
      <w:headerReference w:type="default" r:id="rId9"/>
      <w:footerReference w:type="default" r:id="rId10"/>
      <w:pgSz w:w="12240" w:h="15840"/>
      <w:pgMar w:top="965"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000000"/>
        <w:sz w:val="16"/>
      </w:rPr>
      <w:t xml:space="preserve">POS Register Reconciliation Integrity Fix Plan | Section 06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DGFY POS Reports Analytics Expansion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3737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00_Master_Plan_Index.docx</dc:title>
  <dc:subject>Repository-grounded implementation plan</dc:subject>
  <dc:creator>Codex</dc:creator>
  <cp:keywords/>
  <dc:description>Plan only. No application code or database changes are included.</dc:description>
  <cp:lastModifiedBy/>
  <cp:revision>1</cp:revision>
  <dcterms:created xsi:type="dcterms:W3CDTF">2013-12-23T23:15:00Z</dcterms:created>
  <dcterms:modified xsi:type="dcterms:W3CDTF">2013-12-23T23:15:00Z</dcterms:modified>
  <cp:category/>
</cp:coreProperties>
</file>