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 Reports Analytics Execution Summary</w:t>
      </w:r>
    </w:p>
    <w:p>
      <w:r>
        <w:rPr>
          <w:i/>
          <w:color w:val="505050"/>
          <w:sz w:val="21"/>
        </w:rPr>
        <w:t>Section 01 baseline and flow execution record</w:t>
      </w:r>
    </w:p>
    <w:p>
      <w:r>
        <w:t>Date: 2026-09-28 | Plan version: 1.0 | Branch: StagingPOS | Baseline commit: cccf6a942e7ba51e3ffaa9ff405f785cf13e389a</w:t>
      </w:r>
    </w:p>
    <w:p>
      <w:r>
        <w:t>Execution scope: Master Plan Index plus 01 Objective Current State and Flow. This run establishes and verifies the current system baseline; it does not implement the three requested report views.</w:t>
      </w:r>
    </w:p>
    <w:p>
      <w:pPr>
        <w:pStyle w:val="Heading1"/>
      </w:pPr>
      <w:r>
        <w:t>Final Status for This Execution</w:t>
      </w:r>
    </w:p>
    <w:p>
      <w:r>
        <w:t>SECTION 01 BASELINE VERIFIED; TARGET REPORT IMPLEMENTATION DEFERRED TO RPT-02 AND RPT-03.</w:t>
      </w:r>
    </w:p>
    <w:p>
      <w:r>
        <w:t>The current flow, architecture boundary, source-of-truth assumptions, scope boundary and non-goals were confirmed. The requested Hourly Sales, complete Item Sales and Sales by Category views are not present yet, as expected before backend and frontend implementation.</w:t>
      </w:r>
    </w:p>
    <w:p>
      <w:pPr>
        <w:pStyle w:val="Heading1"/>
      </w:pPr>
      <w:r>
        <w:t>Execution Manifest</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
              <w:rPr>
                <w:rFonts w:ascii="Aptos" w:hAnsi="Aptos"/>
                <w:b/>
                <w:color w:val="FFFFFF"/>
                <w:sz w:val="17"/>
              </w:rPr>
              <w:t>Step</w:t>
            </w:r>
          </w:p>
        </w:tc>
        <w:tc>
          <w:tcPr>
            <w:tcW w:type="dxa" w:w="2541"/>
            <w:shd w:fill="1F4E79"/>
            <w:vAlign w:val="center"/>
          </w:tcPr>
          <w:p>
            <w:pPr>
              <w:spacing w:after="0"/>
            </w:pPr>
            <w:r/>
            <w:r>
              <w:rPr>
                <w:rFonts w:ascii="Aptos" w:hAnsi="Aptos"/>
                <w:b/>
                <w:color w:val="FFFFFF"/>
                <w:sz w:val="17"/>
              </w:rPr>
              <w:t>Objective</w:t>
            </w:r>
          </w:p>
        </w:tc>
        <w:tc>
          <w:tcPr>
            <w:tcW w:type="dxa" w:w="2541"/>
            <w:shd w:fill="1F4E79"/>
            <w:vAlign w:val="center"/>
          </w:tcPr>
          <w:p>
            <w:pPr>
              <w:spacing w:after="0"/>
            </w:pPr>
            <w:r/>
            <w:r>
              <w:rPr>
                <w:rFonts w:ascii="Aptos" w:hAnsi="Aptos"/>
                <w:b/>
                <w:color w:val="FFFFFF"/>
                <w:sz w:val="17"/>
              </w:rPr>
              <w:t>Status</w:t>
            </w:r>
          </w:p>
        </w:tc>
        <w:tc>
          <w:tcPr>
            <w:tcW w:type="dxa" w:w="2541"/>
            <w:shd w:fill="1F4E79"/>
            <w:vAlign w:val="center"/>
          </w:tcPr>
          <w:p>
            <w:pPr>
              <w:spacing w:after="0"/>
            </w:pPr>
            <w:r/>
            <w:r>
              <w:rPr>
                <w:rFonts w:ascii="Aptos" w:hAnsi="Aptos"/>
                <w:b/>
                <w:color w:val="FFFFFF"/>
                <w:sz w:val="17"/>
              </w:rPr>
              <w:t>Evidence</w:t>
            </w:r>
          </w:p>
        </w:tc>
      </w:tr>
      <w:tr>
        <w:tc>
          <w:tcPr>
            <w:tcW w:type="dxa" w:w="2541"/>
            <w:vAlign w:val="center"/>
          </w:tcPr>
          <w:p>
            <w:pPr>
              <w:spacing w:after="0"/>
            </w:pPr>
            <w:r/>
            <w:r>
              <w:rPr>
                <w:rFonts w:ascii="Aptos" w:hAnsi="Aptos"/>
                <w:b w:val="0"/>
                <w:sz w:val="17"/>
              </w:rPr>
              <w:t>EXEC-001</w:t>
            </w:r>
          </w:p>
        </w:tc>
        <w:tc>
          <w:tcPr>
            <w:tcW w:type="dxa" w:w="2541"/>
            <w:vAlign w:val="center"/>
          </w:tcPr>
          <w:p>
            <w:pPr>
              <w:spacing w:after="0"/>
            </w:pPr>
            <w:r/>
            <w:r>
              <w:rPr>
                <w:rFonts w:ascii="Aptos" w:hAnsi="Aptos"/>
                <w:b w:val="0"/>
                <w:sz w:val="17"/>
              </w:rPr>
              <w:t>Read the master index and all referenced plan sections in dependency order.</w:t>
            </w:r>
          </w:p>
        </w:tc>
        <w:tc>
          <w:tcPr>
            <w:tcW w:type="dxa" w:w="2541"/>
            <w:vAlign w:val="center"/>
          </w:tcPr>
          <w:p>
            <w:pPr>
              <w:spacing w:after="0"/>
            </w:pPr>
            <w:r/>
            <w:r>
              <w:rPr>
                <w:rFonts w:ascii="Aptos" w:hAnsi="Aptos"/>
                <w:b w:val="0"/>
                <w:sz w:val="17"/>
              </w:rPr>
              <w:t>VERIFIED</w:t>
            </w:r>
          </w:p>
        </w:tc>
        <w:tc>
          <w:tcPr>
            <w:tcW w:type="dxa" w:w="2541"/>
            <w:vAlign w:val="center"/>
          </w:tcPr>
          <w:p>
            <w:pPr>
              <w:spacing w:after="0"/>
            </w:pPr>
            <w:r/>
            <w:r>
              <w:rPr>
                <w:rFonts w:ascii="Aptos" w:hAnsi="Aptos"/>
                <w:b w:val="0"/>
                <w:sz w:val="17"/>
              </w:rPr>
              <w:t>Seven plan DOCX files read; Section 01 dependencies and acceptance criteria extracted.</w:t>
            </w:r>
          </w:p>
        </w:tc>
      </w:tr>
      <w:tr>
        <w:tc>
          <w:tcPr>
            <w:tcW w:type="dxa" w:w="2541"/>
            <w:shd w:fill="F5F8FC"/>
            <w:vAlign w:val="center"/>
          </w:tcPr>
          <w:p>
            <w:pPr>
              <w:spacing w:after="0"/>
            </w:pPr>
            <w:r/>
            <w:r>
              <w:rPr>
                <w:rFonts w:ascii="Aptos" w:hAnsi="Aptos"/>
                <w:b w:val="0"/>
                <w:sz w:val="17"/>
              </w:rPr>
              <w:t>EXEC-002</w:t>
            </w:r>
          </w:p>
        </w:tc>
        <w:tc>
          <w:tcPr>
            <w:tcW w:type="dxa" w:w="2541"/>
            <w:shd w:fill="F5F8FC"/>
            <w:vAlign w:val="center"/>
          </w:tcPr>
          <w:p>
            <w:pPr>
              <w:spacing w:after="0"/>
            </w:pPr>
            <w:r/>
            <w:r>
              <w:rPr>
                <w:rFonts w:ascii="Aptos" w:hAnsi="Aptos"/>
                <w:b w:val="0"/>
                <w:sz w:val="17"/>
              </w:rPr>
              <w:t>Inspect branch, commit, dirty worktree, report routes, validators, usecases, repository and shared UI.</w:t>
            </w:r>
          </w:p>
        </w:tc>
        <w:tc>
          <w:tcPr>
            <w:tcW w:type="dxa" w:w="2541"/>
            <w:shd w:fill="F5F8FC"/>
            <w:vAlign w:val="center"/>
          </w:tcPr>
          <w:p>
            <w:pPr>
              <w:spacing w:after="0"/>
            </w:pPr>
            <w:r/>
            <w:r>
              <w:rPr>
                <w:rFonts w:ascii="Aptos" w:hAnsi="Aptos"/>
                <w:b w:val="0"/>
                <w:sz w:val="17"/>
              </w:rPr>
              <w:t>VERIFIED</w:t>
            </w:r>
          </w:p>
        </w:tc>
        <w:tc>
          <w:tcPr>
            <w:tcW w:type="dxa" w:w="2541"/>
            <w:shd w:fill="F5F8FC"/>
            <w:vAlign w:val="center"/>
          </w:tcPr>
          <w:p>
            <w:pPr>
              <w:spacing w:after="0"/>
            </w:pPr>
            <w:r/>
            <w:r>
              <w:rPr>
                <w:rFonts w:ascii="Aptos" w:hAnsi="Aptos"/>
                <w:b w:val="0"/>
                <w:sz w:val="17"/>
              </w:rPr>
              <w:t>StagingPOS at cccf6a9; targeted repository inspection completed.</w:t>
            </w:r>
          </w:p>
        </w:tc>
      </w:tr>
      <w:tr>
        <w:tc>
          <w:tcPr>
            <w:tcW w:type="dxa" w:w="2541"/>
            <w:vAlign w:val="center"/>
          </w:tcPr>
          <w:p>
            <w:pPr>
              <w:spacing w:after="0"/>
            </w:pPr>
            <w:r/>
            <w:r>
              <w:rPr>
                <w:rFonts w:ascii="Aptos" w:hAnsi="Aptos"/>
                <w:b w:val="0"/>
                <w:sz w:val="17"/>
              </w:rPr>
              <w:t>EXEC-003</w:t>
            </w:r>
          </w:p>
        </w:tc>
        <w:tc>
          <w:tcPr>
            <w:tcW w:type="dxa" w:w="2541"/>
            <w:vAlign w:val="center"/>
          </w:tcPr>
          <w:p>
            <w:pPr>
              <w:spacing w:after="0"/>
            </w:pPr>
            <w:r/>
            <w:r>
              <w:rPr>
                <w:rFonts w:ascii="Aptos" w:hAnsi="Aptos"/>
                <w:b w:val="0"/>
                <w:sz w:val="17"/>
              </w:rPr>
              <w:t>Compare documented current/target flow with actual implementation.</w:t>
            </w:r>
          </w:p>
        </w:tc>
        <w:tc>
          <w:tcPr>
            <w:tcW w:type="dxa" w:w="2541"/>
            <w:vAlign w:val="center"/>
          </w:tcPr>
          <w:p>
            <w:pPr>
              <w:spacing w:after="0"/>
            </w:pPr>
            <w:r/>
            <w:r>
              <w:rPr>
                <w:rFonts w:ascii="Aptos" w:hAnsi="Aptos"/>
                <w:b w:val="0"/>
                <w:sz w:val="17"/>
              </w:rPr>
              <w:t>VERIFIED</w:t>
            </w:r>
          </w:p>
        </w:tc>
        <w:tc>
          <w:tcPr>
            <w:tcW w:type="dxa" w:w="2541"/>
            <w:vAlign w:val="center"/>
          </w:tcPr>
          <w:p>
            <w:pPr>
              <w:spacing w:after="0"/>
            </w:pPr>
            <w:r/>
            <w:r>
              <w:rPr>
                <w:rFonts w:ascii="Aptos" w:hAnsi="Aptos"/>
                <w:b w:val="0"/>
                <w:sz w:val="17"/>
              </w:rPr>
              <w:t>Current overview/export flow matches; documented three-report gaps remain present.</w:t>
            </w:r>
          </w:p>
        </w:tc>
      </w:tr>
      <w:tr>
        <w:tc>
          <w:tcPr>
            <w:tcW w:type="dxa" w:w="2541"/>
            <w:shd w:fill="F5F8FC"/>
            <w:vAlign w:val="center"/>
          </w:tcPr>
          <w:p>
            <w:pPr>
              <w:spacing w:after="0"/>
            </w:pPr>
            <w:r/>
            <w:r>
              <w:rPr>
                <w:rFonts w:ascii="Aptos" w:hAnsi="Aptos"/>
                <w:b w:val="0"/>
                <w:sz w:val="17"/>
              </w:rPr>
              <w:t>EXEC-004</w:t>
            </w:r>
          </w:p>
        </w:tc>
        <w:tc>
          <w:tcPr>
            <w:tcW w:type="dxa" w:w="2541"/>
            <w:shd w:fill="F5F8FC"/>
            <w:vAlign w:val="center"/>
          </w:tcPr>
          <w:p>
            <w:pPr>
              <w:spacing w:after="0"/>
            </w:pPr>
            <w:r/>
            <w:r>
              <w:rPr>
                <w:rFonts w:ascii="Aptos" w:hAnsi="Aptos"/>
                <w:b w:val="0"/>
                <w:sz w:val="17"/>
              </w:rPr>
              <w:t>Run architecture, build and baseline report tests.</w:t>
            </w:r>
          </w:p>
        </w:tc>
        <w:tc>
          <w:tcPr>
            <w:tcW w:type="dxa" w:w="2541"/>
            <w:shd w:fill="F5F8FC"/>
            <w:vAlign w:val="center"/>
          </w:tcPr>
          <w:p>
            <w:pPr>
              <w:spacing w:after="0"/>
            </w:pPr>
            <w:r/>
            <w:r>
              <w:rPr>
                <w:rFonts w:ascii="Aptos" w:hAnsi="Aptos"/>
                <w:b w:val="0"/>
                <w:sz w:val="17"/>
              </w:rPr>
              <w:t>BLOCKED</w:t>
            </w:r>
          </w:p>
        </w:tc>
        <w:tc>
          <w:tcPr>
            <w:tcW w:type="dxa" w:w="2541"/>
            <w:shd w:fill="F5F8FC"/>
            <w:vAlign w:val="center"/>
          </w:tcPr>
          <w:p>
            <w:pPr>
              <w:spacing w:after="0"/>
            </w:pPr>
            <w:r/>
            <w:r>
              <w:rPr>
                <w:rFonts w:ascii="Aptos" w:hAnsi="Aptos"/>
                <w:b w:val="0"/>
                <w:sz w:val="17"/>
              </w:rPr>
              <w:t>Architecture passed; POS build passed; existing report test drift remains.</w:t>
            </w:r>
          </w:p>
        </w:tc>
      </w:tr>
      <w:tr>
        <w:tc>
          <w:tcPr>
            <w:tcW w:type="dxa" w:w="2541"/>
            <w:vAlign w:val="center"/>
          </w:tcPr>
          <w:p>
            <w:pPr>
              <w:spacing w:after="0"/>
            </w:pPr>
            <w:r/>
            <w:r>
              <w:rPr>
                <w:rFonts w:ascii="Aptos" w:hAnsi="Aptos"/>
                <w:b w:val="0"/>
                <w:sz w:val="17"/>
              </w:rPr>
              <w:t>EXEC-005</w:t>
            </w:r>
          </w:p>
        </w:tc>
        <w:tc>
          <w:tcPr>
            <w:tcW w:type="dxa" w:w="2541"/>
            <w:vAlign w:val="center"/>
          </w:tcPr>
          <w:p>
            <w:pPr>
              <w:spacing w:after="0"/>
            </w:pPr>
            <w:r/>
            <w:r>
              <w:rPr>
                <w:rFonts w:ascii="Aptos" w:hAnsi="Aptos"/>
                <w:b w:val="0"/>
                <w:sz w:val="17"/>
              </w:rPr>
              <w:t>Audit scope, non-goals, data posture and next dependency.</w:t>
            </w:r>
          </w:p>
        </w:tc>
        <w:tc>
          <w:tcPr>
            <w:tcW w:type="dxa" w:w="2541"/>
            <w:vAlign w:val="center"/>
          </w:tcPr>
          <w:p>
            <w:pPr>
              <w:spacing w:after="0"/>
            </w:pPr>
            <w:r/>
            <w:r>
              <w:rPr>
                <w:rFonts w:ascii="Aptos" w:hAnsi="Aptos"/>
                <w:b w:val="0"/>
                <w:sz w:val="17"/>
              </w:rPr>
              <w:t>VERIFIED WITH BASELINE FINDINGS</w:t>
            </w:r>
          </w:p>
        </w:tc>
        <w:tc>
          <w:tcPr>
            <w:tcW w:type="dxa" w:w="2541"/>
            <w:vAlign w:val="center"/>
          </w:tcPr>
          <w:p>
            <w:pPr>
              <w:spacing w:after="0"/>
            </w:pPr>
            <w:r/>
            <w:r>
              <w:rPr>
                <w:rFonts w:ascii="Aptos" w:hAnsi="Aptos"/>
                <w:b w:val="0"/>
                <w:sz w:val="17"/>
              </w:rPr>
              <w:t>No code/database changes from this execution; RPT-02/RPT-03 remain next.</w:t>
            </w:r>
          </w:p>
        </w:tc>
      </w:tr>
    </w:tbl>
    <w:p>
      <w:pPr>
        <w:spacing w:after="20"/>
      </w:pPr>
    </w:p>
    <w:p>
      <w:pPr>
        <w:pStyle w:val="Heading1"/>
      </w:pPr>
      <w:r>
        <w:t>Baseline Evidence</w:t>
      </w:r>
    </w:p>
    <w:tbl>
      <w:tblPr>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0"/>
            </w:pPr>
            <w:r/>
            <w:r>
              <w:rPr>
                <w:rFonts w:ascii="Aptos" w:hAnsi="Aptos"/>
                <w:b/>
                <w:color w:val="FFFFFF"/>
                <w:sz w:val="17"/>
              </w:rPr>
              <w:t>Area</w:t>
            </w:r>
          </w:p>
        </w:tc>
        <w:tc>
          <w:tcPr>
            <w:tcW w:type="dxa" w:w="5083"/>
            <w:shd w:fill="1F4E79"/>
            <w:vAlign w:val="center"/>
          </w:tcPr>
          <w:p>
            <w:pPr>
              <w:spacing w:after="0"/>
            </w:pPr>
            <w:r/>
            <w:r>
              <w:rPr>
                <w:rFonts w:ascii="Aptos" w:hAnsi="Aptos"/>
                <w:b/>
                <w:color w:val="FFFFFF"/>
                <w:sz w:val="17"/>
              </w:rPr>
              <w:t>Observed result</w:t>
            </w:r>
          </w:p>
        </w:tc>
      </w:tr>
      <w:tr>
        <w:tc>
          <w:tcPr>
            <w:tcW w:type="dxa" w:w="5083"/>
            <w:vAlign w:val="center"/>
          </w:tcPr>
          <w:p>
            <w:pPr>
              <w:spacing w:after="0"/>
            </w:pPr>
            <w:r/>
            <w:r>
              <w:rPr>
                <w:rFonts w:ascii="Aptos" w:hAnsi="Aptos"/>
                <w:b w:val="0"/>
                <w:sz w:val="17"/>
              </w:rPr>
              <w:t>Repository</w:t>
            </w:r>
          </w:p>
        </w:tc>
        <w:tc>
          <w:tcPr>
            <w:tcW w:type="dxa" w:w="5083"/>
            <w:vAlign w:val="center"/>
          </w:tcPr>
          <w:p>
            <w:pPr>
              <w:spacing w:after="0"/>
            </w:pPr>
            <w:r/>
            <w:r>
              <w:rPr>
                <w:rFonts w:ascii="Aptos" w:hAnsi="Aptos"/>
                <w:b w:val="0"/>
                <w:sz w:val="17"/>
              </w:rPr>
              <w:t>C:\xampp\htdocs\POS-DGFY\.worktrees\StagingPOS</w:t>
            </w:r>
          </w:p>
        </w:tc>
      </w:tr>
      <w:tr>
        <w:tc>
          <w:tcPr>
            <w:tcW w:type="dxa" w:w="5083"/>
            <w:shd w:fill="F5F8FC"/>
            <w:vAlign w:val="center"/>
          </w:tcPr>
          <w:p>
            <w:pPr>
              <w:spacing w:after="0"/>
            </w:pPr>
            <w:r/>
            <w:r>
              <w:rPr>
                <w:rFonts w:ascii="Aptos" w:hAnsi="Aptos"/>
                <w:b w:val="0"/>
                <w:sz w:val="17"/>
              </w:rPr>
              <w:t>Branch / commit</w:t>
            </w:r>
          </w:p>
        </w:tc>
        <w:tc>
          <w:tcPr>
            <w:tcW w:type="dxa" w:w="5083"/>
            <w:shd w:fill="F5F8FC"/>
            <w:vAlign w:val="center"/>
          </w:tcPr>
          <w:p>
            <w:pPr>
              <w:spacing w:after="0"/>
            </w:pPr>
            <w:r/>
            <w:r>
              <w:rPr>
                <w:rFonts w:ascii="Aptos" w:hAnsi="Aptos"/>
                <w:b w:val="0"/>
                <w:sz w:val="17"/>
              </w:rPr>
              <w:t>StagingPOS / cccf6a942e7ba51e3ffaa9ff405f785cf13e389a</w:t>
            </w:r>
          </w:p>
        </w:tc>
      </w:tr>
      <w:tr>
        <w:tc>
          <w:tcPr>
            <w:tcW w:type="dxa" w:w="5083"/>
            <w:vAlign w:val="center"/>
          </w:tcPr>
          <w:p>
            <w:pPr>
              <w:spacing w:after="0"/>
            </w:pPr>
            <w:r/>
            <w:r>
              <w:rPr>
                <w:rFonts w:ascii="Aptos" w:hAnsi="Aptos"/>
                <w:b w:val="0"/>
                <w:sz w:val="17"/>
              </w:rPr>
              <w:t>Existing dirty worktree</w:t>
            </w:r>
          </w:p>
        </w:tc>
        <w:tc>
          <w:tcPr>
            <w:tcW w:type="dxa" w:w="5083"/>
            <w:vAlign w:val="center"/>
          </w:tcPr>
          <w:p>
            <w:pPr>
              <w:spacing w:after="0"/>
            </w:pPr>
            <w:r/>
            <w:r>
              <w:rPr>
                <w:rFonts w:ascii="Aptos" w:hAnsi="Aptos"/>
                <w:b w:val="0"/>
                <w:sz w:val="17"/>
              </w:rPr>
              <w:t>Cashier-history changes are present and were preserved. No existing file was reset, staged, committed or overwritten.</w:t>
            </w:r>
          </w:p>
        </w:tc>
      </w:tr>
      <w:tr>
        <w:tc>
          <w:tcPr>
            <w:tcW w:type="dxa" w:w="5083"/>
            <w:shd w:fill="F5F8FC"/>
            <w:vAlign w:val="center"/>
          </w:tcPr>
          <w:p>
            <w:pPr>
              <w:spacing w:after="0"/>
            </w:pPr>
            <w:r/>
            <w:r>
              <w:rPr>
                <w:rFonts w:ascii="Aptos" w:hAnsi="Aptos"/>
                <w:b w:val="0"/>
                <w:sz w:val="17"/>
              </w:rPr>
              <w:t>Database reachability</w:t>
            </w:r>
          </w:p>
        </w:tc>
        <w:tc>
          <w:tcPr>
            <w:tcW w:type="dxa" w:w="5083"/>
            <w:shd w:fill="F5F8FC"/>
            <w:vAlign w:val="center"/>
          </w:tcPr>
          <w:p>
            <w:pPr>
              <w:spacing w:after="0"/>
            </w:pPr>
            <w:r/>
            <w:r>
              <w:rPr>
                <w:rFonts w:ascii="Aptos" w:hAnsi="Aptos"/>
                <w:b w:val="0"/>
                <w:sz w:val="17"/>
              </w:rPr>
              <w:t>127.0.0.1:3306 reachable. No database query, migration, seed, repair or schema change was executed.</w:t>
            </w:r>
          </w:p>
        </w:tc>
      </w:tr>
      <w:tr>
        <w:tc>
          <w:tcPr>
            <w:tcW w:type="dxa" w:w="5083"/>
            <w:vAlign w:val="center"/>
          </w:tcPr>
          <w:p>
            <w:pPr>
              <w:spacing w:after="0"/>
            </w:pPr>
            <w:r/>
            <w:r>
              <w:rPr>
                <w:rFonts w:ascii="Aptos" w:hAnsi="Aptos"/>
                <w:b w:val="0"/>
                <w:sz w:val="17"/>
              </w:rPr>
              <w:t>Architecture</w:t>
            </w:r>
          </w:p>
        </w:tc>
        <w:tc>
          <w:tcPr>
            <w:tcW w:type="dxa" w:w="5083"/>
            <w:vAlign w:val="center"/>
          </w:tcPr>
          <w:p>
            <w:pPr>
              <w:spacing w:after="0"/>
            </w:pPr>
            <w:r/>
            <w:r>
              <w:rPr>
                <w:rFonts w:ascii="Aptos" w:hAnsi="Aptos"/>
                <w:b w:val="0"/>
                <w:sz w:val="17"/>
              </w:rPr>
              <w:t>npm run check:architecture passed: ArchitectureGuardrails checked 55 modules/617 files; ControllerBoundary checked 101 controllers.</w:t>
            </w:r>
          </w:p>
        </w:tc>
      </w:tr>
      <w:tr>
        <w:tc>
          <w:tcPr>
            <w:tcW w:type="dxa" w:w="5083"/>
            <w:shd w:fill="F5F8FC"/>
            <w:vAlign w:val="center"/>
          </w:tcPr>
          <w:p>
            <w:pPr>
              <w:spacing w:after="0"/>
            </w:pPr>
            <w:r/>
            <w:r>
              <w:rPr>
                <w:rFonts w:ascii="Aptos" w:hAnsi="Aptos"/>
                <w:b w:val="0"/>
                <w:sz w:val="17"/>
              </w:rPr>
              <w:t>POS build</w:t>
            </w:r>
          </w:p>
        </w:tc>
        <w:tc>
          <w:tcPr>
            <w:tcW w:type="dxa" w:w="5083"/>
            <w:shd w:fill="F5F8FC"/>
            <w:vAlign w:val="center"/>
          </w:tcPr>
          <w:p>
            <w:pPr>
              <w:spacing w:after="0"/>
            </w:pPr>
            <w:r/>
            <w:r>
              <w:rPr>
                <w:rFonts w:ascii="Aptos" w:hAnsi="Aptos"/>
                <w:b w:val="0"/>
                <w:sz w:val="17"/>
              </w:rPr>
              <w:t>npm run build:pos passed. Vite emitted existing dynamic-import and large-chunk warnings.</w:t>
            </w:r>
          </w:p>
        </w:tc>
      </w:tr>
      <w:tr>
        <w:tc>
          <w:tcPr>
            <w:tcW w:type="dxa" w:w="5083"/>
            <w:vAlign w:val="center"/>
          </w:tcPr>
          <w:p>
            <w:pPr>
              <w:spacing w:after="0"/>
            </w:pPr>
            <w:r/>
            <w:r>
              <w:rPr>
                <w:rFonts w:ascii="Aptos" w:hAnsi="Aptos"/>
                <w:b w:val="0"/>
                <w:sz w:val="17"/>
              </w:rPr>
              <w:t>Backend report baseline</w:t>
            </w:r>
          </w:p>
        </w:tc>
        <w:tc>
          <w:tcPr>
            <w:tcW w:type="dxa" w:w="5083"/>
            <w:vAlign w:val="center"/>
          </w:tcPr>
          <w:p>
            <w:pPr>
              <w:spacing w:after="0"/>
            </w:pPr>
            <w:r/>
            <w:r>
              <w:rPr>
                <w:rFonts w:ascii="Aptos" w:hAnsi="Aptos"/>
                <w:b w:val="0"/>
                <w:sz w:val="17"/>
              </w:rPr>
              <w:t>44 tests: 43 passed, 1 failed in posReports.repository.test.js; usecase and validator suites passed.</w:t>
            </w:r>
          </w:p>
        </w:tc>
      </w:tr>
      <w:tr>
        <w:tc>
          <w:tcPr>
            <w:tcW w:type="dxa" w:w="5083"/>
            <w:shd w:fill="F5F8FC"/>
            <w:vAlign w:val="center"/>
          </w:tcPr>
          <w:p>
            <w:pPr>
              <w:spacing w:after="0"/>
            </w:pPr>
            <w:r/>
            <w:r>
              <w:rPr>
                <w:rFonts w:ascii="Aptos" w:hAnsi="Aptos"/>
                <w:b w:val="0"/>
                <w:sz w:val="17"/>
              </w:rPr>
              <w:t>Frontend report baseline</w:t>
            </w:r>
          </w:p>
        </w:tc>
        <w:tc>
          <w:tcPr>
            <w:tcW w:type="dxa" w:w="5083"/>
            <w:shd w:fill="F5F8FC"/>
            <w:vAlign w:val="center"/>
          </w:tcPr>
          <w:p>
            <w:pPr>
              <w:spacing w:after="0"/>
            </w:pPr>
            <w:r/>
            <w:r>
              <w:rPr>
                <w:rFonts w:ascii="Aptos" w:hAnsi="Aptos"/>
                <w:b w:val="0"/>
                <w:sz w:val="17"/>
              </w:rPr>
              <w:t>45 tests: 43 passed, 2 failed in existing workspace/responsive contract tests.</w:t>
            </w:r>
          </w:p>
        </w:tc>
      </w:tr>
      <w:tr>
        <w:tc>
          <w:tcPr>
            <w:tcW w:type="dxa" w:w="5083"/>
            <w:vAlign w:val="center"/>
          </w:tcPr>
          <w:p>
            <w:pPr>
              <w:spacing w:after="0"/>
            </w:pPr>
            <w:r/>
            <w:r>
              <w:rPr>
                <w:rFonts w:ascii="Aptos" w:hAnsi="Aptos"/>
                <w:b w:val="0"/>
                <w:sz w:val="17"/>
              </w:rPr>
              <w:t>Plan rendering</w:t>
            </w:r>
          </w:p>
        </w:tc>
        <w:tc>
          <w:tcPr>
            <w:tcW w:type="dxa" w:w="5083"/>
            <w:vAlign w:val="center"/>
          </w:tcPr>
          <w:p>
            <w:pPr>
              <w:spacing w:after="0"/>
            </w:pPr>
            <w:r/>
            <w:r>
              <w:rPr>
                <w:rFonts w:ascii="Aptos" w:hAnsi="Aptos"/>
                <w:b w:val="0"/>
                <w:sz w:val="17"/>
              </w:rPr>
              <w:t>Execution DOCX files were structurally validated. Visual rendering remains unavailable because LibreOffice/soffice.exe is not installed.</w:t>
            </w:r>
          </w:p>
        </w:tc>
      </w:tr>
    </w:tbl>
    <w:p>
      <w:pPr>
        <w:spacing w:after="20"/>
      </w:pPr>
    </w:p>
    <w:p>
      <w:pPr>
        <w:pStyle w:val="Heading1"/>
      </w:pPr>
      <w:r>
        <w:t>Requirements Status</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F4E79"/>
            <w:vAlign w:val="center"/>
          </w:tcPr>
          <w:p>
            <w:pPr>
              <w:spacing w:after="0"/>
            </w:pPr>
            <w:r/>
            <w:r>
              <w:rPr>
                <w:rFonts w:ascii="Aptos" w:hAnsi="Aptos"/>
                <w:b/>
                <w:color w:val="FFFFFF"/>
                <w:sz w:val="17"/>
              </w:rPr>
              <w:t>Requirement</w:t>
            </w:r>
          </w:p>
        </w:tc>
        <w:tc>
          <w:tcPr>
            <w:tcW w:type="dxa" w:w="3389"/>
            <w:shd w:fill="1F4E79"/>
            <w:vAlign w:val="center"/>
          </w:tcPr>
          <w:p>
            <w:pPr>
              <w:spacing w:after="0"/>
            </w:pPr>
            <w:r/>
            <w:r>
              <w:rPr>
                <w:rFonts w:ascii="Aptos" w:hAnsi="Aptos"/>
                <w:b/>
                <w:color w:val="FFFFFF"/>
                <w:sz w:val="17"/>
              </w:rPr>
              <w:t>Status</w:t>
            </w:r>
          </w:p>
        </w:tc>
        <w:tc>
          <w:tcPr>
            <w:tcW w:type="dxa" w:w="3389"/>
            <w:shd w:fill="1F4E79"/>
            <w:vAlign w:val="center"/>
          </w:tcPr>
          <w:p>
            <w:pPr>
              <w:spacing w:after="0"/>
            </w:pPr>
            <w:r/>
            <w:r>
              <w:rPr>
                <w:rFonts w:ascii="Aptos" w:hAnsi="Aptos"/>
                <w:b/>
                <w:color w:val="FFFFFF"/>
                <w:sz w:val="17"/>
              </w:rPr>
              <w:t>Reason</w:t>
            </w:r>
          </w:p>
        </w:tc>
      </w:tr>
      <w:tr>
        <w:tc>
          <w:tcPr>
            <w:tcW w:type="dxa" w:w="3389"/>
            <w:vAlign w:val="center"/>
          </w:tcPr>
          <w:p>
            <w:pPr>
              <w:spacing w:after="0"/>
            </w:pPr>
            <w:r/>
            <w:r>
              <w:rPr>
                <w:rFonts w:ascii="Aptos" w:hAnsi="Aptos"/>
                <w:b w:val="0"/>
                <w:sz w:val="17"/>
              </w:rPr>
              <w:t>FR-REP-001 Hourly Sales</w:t>
            </w:r>
          </w:p>
        </w:tc>
        <w:tc>
          <w:tcPr>
            <w:tcW w:type="dxa" w:w="3389"/>
            <w:vAlign w:val="center"/>
          </w:tcPr>
          <w:p>
            <w:pPr>
              <w:spacing w:after="0"/>
            </w:pPr>
            <w:r/>
            <w:r>
              <w:rPr>
                <w:rFonts w:ascii="Aptos" w:hAnsi="Aptos"/>
                <w:b w:val="0"/>
                <w:sz w:val="17"/>
              </w:rPr>
              <w:t>BLOCKED / NOT STARTED</w:t>
            </w:r>
          </w:p>
        </w:tc>
        <w:tc>
          <w:tcPr>
            <w:tcW w:type="dxa" w:w="3389"/>
            <w:vAlign w:val="center"/>
          </w:tcPr>
          <w:p>
            <w:pPr>
              <w:spacing w:after="0"/>
            </w:pPr>
            <w:r/>
            <w:r>
              <w:rPr>
                <w:rFonts w:ascii="Aptos" w:hAnsi="Aptos"/>
                <w:b w:val="0"/>
                <w:sz w:val="17"/>
              </w:rPr>
              <w:t>No hourly tab, hourly granularity or breakdown endpoint exists; implementation belongs to RPT-02/RPT-03.</w:t>
            </w:r>
          </w:p>
        </w:tc>
      </w:tr>
      <w:tr>
        <w:tc>
          <w:tcPr>
            <w:tcW w:type="dxa" w:w="3389"/>
            <w:shd w:fill="F5F8FC"/>
            <w:vAlign w:val="center"/>
          </w:tcPr>
          <w:p>
            <w:pPr>
              <w:spacing w:after="0"/>
            </w:pPr>
            <w:r/>
            <w:r>
              <w:rPr>
                <w:rFonts w:ascii="Aptos" w:hAnsi="Aptos"/>
                <w:b w:val="0"/>
                <w:sz w:val="17"/>
              </w:rPr>
              <w:t>FR-REP-002 Item Sales</w:t>
            </w:r>
          </w:p>
        </w:tc>
        <w:tc>
          <w:tcPr>
            <w:tcW w:type="dxa" w:w="3389"/>
            <w:shd w:fill="F5F8FC"/>
            <w:vAlign w:val="center"/>
          </w:tcPr>
          <w:p>
            <w:pPr>
              <w:spacing w:after="0"/>
            </w:pPr>
            <w:r/>
            <w:r>
              <w:rPr>
                <w:rFonts w:ascii="Aptos" w:hAnsi="Aptos"/>
                <w:b w:val="0"/>
                <w:sz w:val="17"/>
              </w:rPr>
              <w:t>BLOCKED / NOT STARTED</w:t>
            </w:r>
          </w:p>
        </w:tc>
        <w:tc>
          <w:tcPr>
            <w:tcW w:type="dxa" w:w="3389"/>
            <w:shd w:fill="F5F8FC"/>
            <w:vAlign w:val="center"/>
          </w:tcPr>
          <w:p>
            <w:pPr>
              <w:spacing w:after="0"/>
            </w:pPr>
            <w:r/>
            <w:r>
              <w:rPr>
                <w:rFonts w:ascii="Aptos" w:hAnsi="Aptos"/>
                <w:b w:val="0"/>
                <w:sz w:val="17"/>
              </w:rPr>
              <w:t>Current UI is top-N only; complete paginated item report is not implemented.</w:t>
            </w:r>
          </w:p>
        </w:tc>
      </w:tr>
      <w:tr>
        <w:tc>
          <w:tcPr>
            <w:tcW w:type="dxa" w:w="3389"/>
            <w:vAlign w:val="center"/>
          </w:tcPr>
          <w:p>
            <w:pPr>
              <w:spacing w:after="0"/>
            </w:pPr>
            <w:r/>
            <w:r>
              <w:rPr>
                <w:rFonts w:ascii="Aptos" w:hAnsi="Aptos"/>
                <w:b w:val="0"/>
                <w:sz w:val="17"/>
              </w:rPr>
              <w:t>FR-REP-003 Sales by Category</w:t>
            </w:r>
          </w:p>
        </w:tc>
        <w:tc>
          <w:tcPr>
            <w:tcW w:type="dxa" w:w="3389"/>
            <w:vAlign w:val="center"/>
          </w:tcPr>
          <w:p>
            <w:pPr>
              <w:spacing w:after="0"/>
            </w:pPr>
            <w:r/>
            <w:r>
              <w:rPr>
                <w:rFonts w:ascii="Aptos" w:hAnsi="Aptos"/>
                <w:b w:val="0"/>
                <w:sz w:val="17"/>
              </w:rPr>
              <w:t>BLOCKED / NOT STARTED</w:t>
            </w:r>
          </w:p>
        </w:tc>
        <w:tc>
          <w:tcPr>
            <w:tcW w:type="dxa" w:w="3389"/>
            <w:vAlign w:val="center"/>
          </w:tcPr>
          <w:p>
            <w:pPr>
              <w:spacing w:after="0"/>
            </w:pPr>
            <w:r/>
            <w:r>
              <w:rPr>
                <w:rFonts w:ascii="Aptos" w:hAnsi="Aptos"/>
                <w:b w:val="0"/>
                <w:sz w:val="17"/>
              </w:rPr>
              <w:t>Category filter exists, but grouped category report does not.</w:t>
            </w:r>
          </w:p>
        </w:tc>
      </w:tr>
      <w:tr>
        <w:tc>
          <w:tcPr>
            <w:tcW w:type="dxa" w:w="3389"/>
            <w:shd w:fill="F5F8FC"/>
            <w:vAlign w:val="center"/>
          </w:tcPr>
          <w:p>
            <w:pPr>
              <w:spacing w:after="0"/>
            </w:pPr>
            <w:r/>
            <w:r>
              <w:rPr>
                <w:rFonts w:ascii="Aptos" w:hAnsi="Aptos"/>
                <w:b w:val="0"/>
                <w:sz w:val="17"/>
              </w:rPr>
              <w:t>FR-REP-004 Shared filters and scope</w:t>
            </w:r>
          </w:p>
        </w:tc>
        <w:tc>
          <w:tcPr>
            <w:tcW w:type="dxa" w:w="3389"/>
            <w:shd w:fill="F5F8FC"/>
            <w:vAlign w:val="center"/>
          </w:tcPr>
          <w:p>
            <w:pPr>
              <w:spacing w:after="0"/>
            </w:pPr>
            <w:r/>
            <w:r>
              <w:rPr>
                <w:rFonts w:ascii="Aptos" w:hAnsi="Aptos"/>
                <w:b w:val="0"/>
                <w:sz w:val="17"/>
              </w:rPr>
              <w:t>PARTIALLY VERIFIED</w:t>
            </w:r>
          </w:p>
        </w:tc>
        <w:tc>
          <w:tcPr>
            <w:tcW w:type="dxa" w:w="3389"/>
            <w:shd w:fill="F5F8FC"/>
            <w:vAlign w:val="center"/>
          </w:tcPr>
          <w:p>
            <w:pPr>
              <w:spacing w:after="0"/>
            </w:pPr>
            <w:r/>
            <w:r>
              <w:rPr>
                <w:rFonts w:ascii="Aptos" w:hAnsi="Aptos"/>
                <w:b w:val="0"/>
                <w:sz w:val="17"/>
              </w:rPr>
              <w:t>Existing overview filters/scope are present; target breakdown endpoint/UI does not exist yet.</w:t>
            </w:r>
          </w:p>
        </w:tc>
      </w:tr>
      <w:tr>
        <w:tc>
          <w:tcPr>
            <w:tcW w:type="dxa" w:w="3389"/>
            <w:vAlign w:val="center"/>
          </w:tcPr>
          <w:p>
            <w:pPr>
              <w:spacing w:after="0"/>
            </w:pPr>
            <w:r/>
            <w:r>
              <w:rPr>
                <w:rFonts w:ascii="Aptos" w:hAnsi="Aptos"/>
                <w:b w:val="0"/>
                <w:sz w:val="17"/>
              </w:rPr>
              <w:t>DATA-REP-001 Existing source of truth</w:t>
            </w:r>
          </w:p>
        </w:tc>
        <w:tc>
          <w:tcPr>
            <w:tcW w:type="dxa" w:w="3389"/>
            <w:vAlign w:val="center"/>
          </w:tcPr>
          <w:p>
            <w:pPr>
              <w:spacing w:after="0"/>
            </w:pPr>
            <w:r/>
            <w:r>
              <w:rPr>
                <w:rFonts w:ascii="Aptos" w:hAnsi="Aptos"/>
                <w:b w:val="0"/>
                <w:sz w:val="17"/>
              </w:rPr>
              <w:t>PASS</w:t>
            </w:r>
          </w:p>
        </w:tc>
        <w:tc>
          <w:tcPr>
            <w:tcW w:type="dxa" w:w="3389"/>
            <w:vAlign w:val="center"/>
          </w:tcPr>
          <w:p>
            <w:pPr>
              <w:spacing w:after="0"/>
            </w:pPr>
            <w:r/>
            <w:r>
              <w:rPr>
                <w:rFonts w:ascii="Aptos" w:hAnsi="Aptos"/>
                <w:b w:val="0"/>
                <w:sz w:val="17"/>
              </w:rPr>
              <w:t>Current report reads POS transactions/lines and normalizes line data.</w:t>
            </w:r>
          </w:p>
        </w:tc>
      </w:tr>
      <w:tr>
        <w:tc>
          <w:tcPr>
            <w:tcW w:type="dxa" w:w="3389"/>
            <w:shd w:fill="F5F8FC"/>
            <w:vAlign w:val="center"/>
          </w:tcPr>
          <w:p>
            <w:pPr>
              <w:spacing w:after="0"/>
            </w:pPr>
            <w:r/>
            <w:r>
              <w:rPr>
                <w:rFonts w:ascii="Aptos" w:hAnsi="Aptos"/>
                <w:b w:val="0"/>
                <w:sz w:val="17"/>
              </w:rPr>
              <w:t>UI-REP-001 Report navigation</w:t>
            </w:r>
          </w:p>
        </w:tc>
        <w:tc>
          <w:tcPr>
            <w:tcW w:type="dxa" w:w="3389"/>
            <w:shd w:fill="F5F8FC"/>
            <w:vAlign w:val="center"/>
          </w:tcPr>
          <w:p>
            <w:pPr>
              <w:spacing w:after="0"/>
            </w:pPr>
            <w:r/>
            <w:r>
              <w:rPr>
                <w:rFonts w:ascii="Aptos" w:hAnsi="Aptos"/>
                <w:b w:val="0"/>
                <w:sz w:val="17"/>
              </w:rPr>
              <w:t>BLOCKED</w:t>
            </w:r>
          </w:p>
        </w:tc>
        <w:tc>
          <w:tcPr>
            <w:tcW w:type="dxa" w:w="3389"/>
            <w:shd w:fill="F5F8FC"/>
            <w:vAlign w:val="center"/>
          </w:tcPr>
          <w:p>
            <w:pPr>
              <w:spacing w:after="0"/>
            </w:pPr>
            <w:r/>
            <w:r>
              <w:rPr>
                <w:rFonts w:ascii="Aptos" w:hAnsi="Aptos"/>
                <w:b w:val="0"/>
                <w:sz w:val="17"/>
              </w:rPr>
              <w:t>Existing Reports navigation is present, but the three new views are not yet implemented.</w:t>
            </w:r>
          </w:p>
        </w:tc>
      </w:tr>
      <w:tr>
        <w:tc>
          <w:tcPr>
            <w:tcW w:type="dxa" w:w="3389"/>
            <w:vAlign w:val="center"/>
          </w:tcPr>
          <w:p>
            <w:pPr>
              <w:spacing w:after="0"/>
            </w:pPr>
            <w:r/>
            <w:r>
              <w:rPr>
                <w:rFonts w:ascii="Aptos" w:hAnsi="Aptos"/>
                <w:b w:val="0"/>
                <w:sz w:val="17"/>
              </w:rPr>
              <w:t>Non-goals</w:t>
            </w:r>
          </w:p>
        </w:tc>
        <w:tc>
          <w:tcPr>
            <w:tcW w:type="dxa" w:w="3389"/>
            <w:vAlign w:val="center"/>
          </w:tcPr>
          <w:p>
            <w:pPr>
              <w:spacing w:after="0"/>
            </w:pPr>
            <w:r/>
            <w:r>
              <w:rPr>
                <w:rFonts w:ascii="Aptos" w:hAnsi="Aptos"/>
                <w:b w:val="0"/>
                <w:sz w:val="17"/>
              </w:rPr>
              <w:t>PASS FOR THIS EXECUTION</w:t>
            </w:r>
          </w:p>
        </w:tc>
        <w:tc>
          <w:tcPr>
            <w:tcW w:type="dxa" w:w="3389"/>
            <w:vAlign w:val="center"/>
          </w:tcPr>
          <w:p>
            <w:pPr>
              <w:spacing w:after="0"/>
            </w:pPr>
            <w:r/>
            <w:r>
              <w:rPr>
                <w:rFonts w:ascii="Aptos" w:hAnsi="Aptos"/>
                <w:b w:val="0"/>
                <w:sz w:val="17"/>
              </w:rPr>
              <w:t>No checkout, shift, inventory, transaction, permission-policy or migration change was made.</w:t>
            </w:r>
          </w:p>
        </w:tc>
      </w:tr>
    </w:tbl>
    <w:p>
      <w:pPr>
        <w:spacing w:after="20"/>
      </w:pPr>
    </w:p>
    <w:p>
      <w:pPr>
        <w:pStyle w:val="Heading1"/>
      </w:pPr>
      <w:r>
        <w:t>Known Baseline Findings</w:t>
      </w:r>
    </w:p>
    <w:p>
      <w:pPr>
        <w:pStyle w:val="ListBullet"/>
      </w:pPr>
      <w:r>
        <w:t>Backend report test drift: the test expects pos_profit_loss in daily_report.transaction_rows, while the current buildReportTransactionRows implementation returns no pos_profit_loss field. The current dirty repository diff only changes cashier shift-history code, not this report-row function.</w:t>
      </w:r>
    </w:p>
    <w:p>
      <w:pPr>
        <w:pStyle w:val="ListBullet"/>
      </w:pPr>
      <w:r>
        <w:t>Frontend contract drift: the workspace contract test expects a specific offlineReportKey property order; the current implementation includes locationId before granularity. The report workspace file is not part of the current dirty diff.</w:t>
      </w:r>
    </w:p>
    <w:p>
      <w:pPr>
        <w:pStyle w:val="ListBullet"/>
      </w:pPr>
      <w:r>
        <w:t>Frontend responsive-table drift: the test expects an entries-per-page button that the current rendered accessibility tree does not expose under that name. The responsive component is not part of the current dirty diff.</w:t>
      </w:r>
    </w:p>
    <w:p>
      <w:pPr>
        <w:pStyle w:val="ListBullet"/>
      </w:pPr>
      <w:r>
        <w:t>These findings are recorded, not silently fixed, because this approved scope is Section 01 baseline/flow execution and no report implementation or unrelated test repair was requested.</w:t>
      </w:r>
    </w:p>
    <w:p>
      <w:pPr>
        <w:pStyle w:val="Heading1"/>
      </w:pPr>
      <w:r>
        <w:t>Next Eligible Execution</w:t>
      </w:r>
    </w:p>
    <w:p>
      <w:r>
        <w:t>RPT-01 still requires the open decisions in Section 02 to be frozen. After that, RPT-02 implements the backend breakdown contract and RPT-03 implements the shared POS UI. The authoritative phase ledger still has Phase 347 in_progress; the global phase number for this initiative remains intentionally unassigned.</w:t>
      </w:r>
    </w:p>
    <w:p>
      <w:pPr>
        <w:pStyle w:val="Heading1"/>
      </w:pPr>
      <w:r>
        <w:t>Section 02 Completion Update</w:t>
      </w:r>
    </w:p>
    <w:p>
      <w:r>
        <w:t>Section 02 Requirements and Business Rules was executed after the complete plan was read and the live StagingPOS repository was inspected.</w:t>
      </w:r>
    </w:p>
    <w:p>
      <w:r>
        <w:t>Status: REQUIREMENTS FROZEN; IMPLEMENTATION DEFERRED BY PLAN TO RPT-02/RPT-03.</w:t>
      </w:r>
    </w:p>
    <w:tbl>
      <w:tblPr>
        <w:tblW w:type="auto" w:w="0"/>
        <w:jc w:val="center"/>
        <w:tblLayout w:type="autofit"/>
        <w:tblLook w:firstColumn="1" w:firstRow="1" w:lastColumn="0" w:lastRow="0" w:noHBand="0" w:noVBand="1" w:val="04A0"/>
      </w:tblPr>
      <w:tblGrid>
        <w:gridCol w:w="5083"/>
        <w:gridCol w:w="5083"/>
      </w:tblGrid>
      <w:tr>
        <w:tc>
          <w:tcPr>
            <w:tcW w:type="dxa" w:w="5083"/>
            <w:shd w:fill="1F4E79"/>
            <w:vAlign w:val="center"/>
          </w:tcPr>
          <w:p>
            <w:pPr>
              <w:spacing w:after="0"/>
            </w:pPr>
            <w:r/>
            <w:r>
              <w:rPr>
                <w:rFonts w:ascii="Aptos" w:hAnsi="Aptos"/>
                <w:b/>
                <w:color w:val="FFFFFF"/>
                <w:sz w:val="17"/>
              </w:rPr>
              <w:t>Decision</w:t>
            </w:r>
          </w:p>
        </w:tc>
        <w:tc>
          <w:tcPr>
            <w:tcW w:type="dxa" w:w="5083"/>
            <w:shd w:fill="1F4E79"/>
            <w:vAlign w:val="center"/>
          </w:tcPr>
          <w:p>
            <w:pPr>
              <w:spacing w:after="0"/>
            </w:pPr>
            <w:r/>
            <w:r>
              <w:rPr>
                <w:rFonts w:ascii="Aptos" w:hAnsi="Aptos"/>
                <w:b/>
                <w:color w:val="FFFFFF"/>
                <w:sz w:val="17"/>
              </w:rPr>
              <w:t>Frozen execution choice</w:t>
            </w:r>
          </w:p>
        </w:tc>
      </w:tr>
      <w:tr>
        <w:tc>
          <w:tcPr>
            <w:tcW w:type="dxa" w:w="5083"/>
            <w:vAlign w:val="center"/>
          </w:tcPr>
          <w:p>
            <w:pPr>
              <w:spacing w:after="0"/>
            </w:pPr>
            <w:r/>
            <w:r>
              <w:rPr>
                <w:rFonts w:ascii="Aptos" w:hAnsi="Aptos"/>
                <w:b w:val="0"/>
                <w:sz w:val="17"/>
              </w:rPr>
              <w:t>Placement and labels</w:t>
            </w:r>
          </w:p>
        </w:tc>
        <w:tc>
          <w:tcPr>
            <w:tcW w:type="dxa" w:w="5083"/>
            <w:vAlign w:val="center"/>
          </w:tcPr>
          <w:p>
            <w:pPr>
              <w:spacing w:after="0"/>
            </w:pPr>
            <w:r/>
            <w:r>
              <w:rPr>
                <w:rFonts w:ascii="Aptos" w:hAnsi="Aptos"/>
                <w:b w:val="0"/>
                <w:sz w:val="17"/>
              </w:rPr>
              <w:t>Three top-level tabs inside the existing Reports workspace: Hourly Sales, Item Sales, Sales by Category.</w:t>
            </w:r>
          </w:p>
        </w:tc>
      </w:tr>
      <w:tr>
        <w:tc>
          <w:tcPr>
            <w:tcW w:type="dxa" w:w="5083"/>
            <w:shd w:fill="F5F8FC"/>
            <w:vAlign w:val="center"/>
          </w:tcPr>
          <w:p>
            <w:pPr>
              <w:spacing w:after="0"/>
            </w:pPr>
            <w:r/>
            <w:r>
              <w:rPr>
                <w:rFonts w:ascii="Aptos" w:hAnsi="Aptos"/>
                <w:b w:val="0"/>
                <w:sz w:val="17"/>
              </w:rPr>
              <w:t>Date range</w:t>
            </w:r>
          </w:p>
        </w:tc>
        <w:tc>
          <w:tcPr>
            <w:tcW w:type="dxa" w:w="5083"/>
            <w:shd w:fill="F5F8FC"/>
            <w:vAlign w:val="center"/>
          </w:tcPr>
          <w:p>
            <w:pPr>
              <w:spacing w:after="0"/>
            </w:pPr>
            <w:r/>
            <w:r>
              <w:rPr>
                <w:rFonts w:ascii="Aptos" w:hAnsi="Aptos"/>
                <w:b w:val="0"/>
                <w:sz w:val="17"/>
              </w:rPr>
              <w:t>Reuse the existing inclusive date range and 366-day maximum. Hourly output is bounded/paginated rather than changing the global date policy.</w:t>
            </w:r>
          </w:p>
        </w:tc>
      </w:tr>
      <w:tr>
        <w:tc>
          <w:tcPr>
            <w:tcW w:type="dxa" w:w="5083"/>
            <w:vAlign w:val="center"/>
          </w:tcPr>
          <w:p>
            <w:pPr>
              <w:spacing w:after="0"/>
            </w:pPr>
            <w:r/>
            <w:r>
              <w:rPr>
                <w:rFonts w:ascii="Aptos" w:hAnsi="Aptos"/>
                <w:b w:val="0"/>
                <w:sz w:val="17"/>
              </w:rPr>
              <w:t>Item/category pagination</w:t>
            </w:r>
          </w:p>
        </w:tc>
        <w:tc>
          <w:tcPr>
            <w:tcW w:type="dxa" w:w="5083"/>
            <w:vAlign w:val="center"/>
          </w:tcPr>
          <w:p>
            <w:pPr>
              <w:spacing w:after="0"/>
            </w:pPr>
            <w:r/>
            <w:r>
              <w:rPr>
                <w:rFonts w:ascii="Aptos" w:hAnsi="Aptos"/>
                <w:b w:val="0"/>
                <w:sz w:val="17"/>
              </w:rPr>
              <w:t>Complete server-paginated report; default limit 50, maximum 200, stable sort. No top-N replacement of the overview payload.</w:t>
            </w:r>
          </w:p>
        </w:tc>
      </w:tr>
      <w:tr>
        <w:tc>
          <w:tcPr>
            <w:tcW w:type="dxa" w:w="5083"/>
            <w:shd w:fill="F5F8FC"/>
            <w:vAlign w:val="center"/>
          </w:tcPr>
          <w:p>
            <w:pPr>
              <w:spacing w:after="0"/>
            </w:pPr>
            <w:r/>
            <w:r>
              <w:rPr>
                <w:rFonts w:ascii="Aptos" w:hAnsi="Aptos"/>
                <w:b w:val="0"/>
                <w:sz w:val="17"/>
              </w:rPr>
              <w:t>Export</w:t>
            </w:r>
          </w:p>
        </w:tc>
        <w:tc>
          <w:tcPr>
            <w:tcW w:type="dxa" w:w="5083"/>
            <w:shd w:fill="F5F8FC"/>
            <w:vAlign w:val="center"/>
          </w:tcPr>
          <w:p>
            <w:pPr>
              <w:spacing w:after="0"/>
            </w:pPr>
            <w:r/>
            <w:r>
              <w:rPr>
                <w:rFonts w:ascii="Aptos" w:hAnsi="Aptos"/>
                <w:b w:val="0"/>
                <w:sz w:val="17"/>
              </w:rPr>
              <w:t>Server-side export uses the same scope, filters and sort and exports the complete filtered breakdown; page/limit is not used to silently truncate the export.</w:t>
            </w:r>
          </w:p>
        </w:tc>
      </w:tr>
      <w:tr>
        <w:tc>
          <w:tcPr>
            <w:tcW w:type="dxa" w:w="5083"/>
            <w:vAlign w:val="center"/>
          </w:tcPr>
          <w:p>
            <w:pPr>
              <w:spacing w:after="0"/>
            </w:pPr>
            <w:r/>
            <w:r>
              <w:rPr>
                <w:rFonts w:ascii="Aptos" w:hAnsi="Aptos"/>
                <w:b w:val="0"/>
                <w:sz w:val="17"/>
              </w:rPr>
              <w:t>Category status</w:t>
            </w:r>
          </w:p>
        </w:tc>
        <w:tc>
          <w:tcPr>
            <w:tcW w:type="dxa" w:w="5083"/>
            <w:vAlign w:val="center"/>
          </w:tcPr>
          <w:p>
            <w:pPr>
              <w:spacing w:after="0"/>
            </w:pPr>
            <w:r/>
            <w:r>
              <w:rPr>
                <w:rFonts w:ascii="Aptos" w:hAnsi="Aptos"/>
                <w:b w:val="0"/>
                <w:sz w:val="17"/>
              </w:rPr>
              <w:t>Reuse live category resolution. Inactive categories present in matching rows remain grouped by resolved name; missing/empty category uses key uncategorized and label Uncategorized. Active-only category options remain unchanged.</w:t>
            </w:r>
          </w:p>
        </w:tc>
      </w:tr>
      <w:tr>
        <w:tc>
          <w:tcPr>
            <w:tcW w:type="dxa" w:w="5083"/>
            <w:shd w:fill="F5F8FC"/>
            <w:vAlign w:val="center"/>
          </w:tcPr>
          <w:p>
            <w:pPr>
              <w:spacing w:after="0"/>
            </w:pPr>
            <w:r/>
            <w:r>
              <w:rPr>
                <w:rFonts w:ascii="Aptos" w:hAnsi="Aptos"/>
                <w:b w:val="0"/>
                <w:sz w:val="17"/>
              </w:rPr>
              <w:t>Permissions</w:t>
            </w:r>
          </w:p>
        </w:tc>
        <w:tc>
          <w:tcPr>
            <w:tcW w:type="dxa" w:w="5083"/>
            <w:shd w:fill="F5F8FC"/>
            <w:vAlign w:val="center"/>
          </w:tcPr>
          <w:p>
            <w:pPr>
              <w:spacing w:after="0"/>
            </w:pPr>
            <w:r/>
            <w:r>
              <w:rPr>
                <w:rFonts w:ascii="Aptos" w:hAnsi="Aptos"/>
                <w:b w:val="0"/>
                <w:sz w:val="17"/>
              </w:rPr>
              <w:t>Keep pos:view or pos:branch_view with existing tenant/location/cashier scope helpers; do not substitute reports:view/reports:export.</w:t>
            </w:r>
          </w:p>
        </w:tc>
      </w:tr>
      <w:tr>
        <w:tc>
          <w:tcPr>
            <w:tcW w:type="dxa" w:w="5083"/>
            <w:vAlign w:val="center"/>
          </w:tcPr>
          <w:p>
            <w:pPr>
              <w:spacing w:after="0"/>
            </w:pPr>
            <w:r/>
            <w:r>
              <w:rPr>
                <w:rFonts w:ascii="Aptos" w:hAnsi="Aptos"/>
                <w:b w:val="0"/>
                <w:sz w:val="17"/>
              </w:rPr>
              <w:t>Schema</w:t>
            </w:r>
          </w:p>
        </w:tc>
        <w:tc>
          <w:tcPr>
            <w:tcW w:type="dxa" w:w="5083"/>
            <w:vAlign w:val="center"/>
          </w:tcPr>
          <w:p>
            <w:pPr>
              <w:spacing w:after="0"/>
            </w:pPr>
            <w:r/>
            <w:r>
              <w:rPr>
                <w:rFonts w:ascii="Aptos" w:hAnsi="Aptos"/>
                <w:b w:val="0"/>
                <w:sz w:val="17"/>
              </w:rPr>
              <w:t>No aggregate table or migration. Additive index work requires measured query-plan evidence in a later phase.</w:t>
            </w:r>
          </w:p>
        </w:tc>
      </w:tr>
    </w:tbl>
    <w:p>
      <w:pPr>
        <w:spacing w:after="20"/>
      </w:pPr>
    </w:p>
    <w:p>
      <w:pPr>
        <w:pStyle w:val="Heading1"/>
      </w:pPr>
      <w:r>
        <w:t>Section 02 Verification</w:t>
      </w:r>
    </w:p>
    <w:p>
      <w:pPr>
        <w:pStyle w:val="ListBullet"/>
      </w:pPr>
      <w:r>
        <w:t>Architecture, ADR, documentation and compliance checks passed.</w:t>
      </w:r>
    </w:p>
    <w:p>
      <w:pPr>
        <w:pStyle w:val="ListBullet"/>
      </w:pPr>
      <w:r>
        <w:t>POS report usecase and validator suites passed: 25 tests.</w:t>
      </w:r>
    </w:p>
    <w:p>
      <w:pPr>
        <w:pStyle w:val="ListBullet"/>
      </w:pPr>
      <w:r>
        <w:t>The previously documented one backend and two frontend report-test drifts remain carried-forward baseline findings; no unrelated test repair was made.</w:t>
      </w:r>
    </w:p>
    <w:p>
      <w:pPr>
        <w:pStyle w:val="ListBullet"/>
      </w:pPr>
      <w:r>
        <w:t>No application code, database schema, migration, commit, PR or phase-ledger entry was changed.</w:t>
      </w:r>
    </w:p>
    <w:p>
      <w:pPr>
        <w:pStyle w:val="Heading1"/>
      </w:pPr>
      <w:r>
        <w:t>Next Dependency</w:t>
      </w:r>
    </w:p>
    <w:p>
      <w:r>
        <w:t>RPT-02 was approved and executed in this run. Its backend breakdown contract is complete; RPT-03 (Section 04 Frontend Report UI and Export) is the next eligible initiative phase. The authoritative phase ledger still has Phase 347 in_progress.</w:t>
      </w:r>
    </w:p>
    <w:p>
      <w:pPr>
        <w:pStyle w:val="Heading1"/>
      </w:pPr>
      <w:r>
        <w:t>Section 03 Completion Update</w:t>
      </w:r>
    </w:p>
    <w:p>
      <w:r>
        <w:t>Section 03 Backend Data and API Plan was executed after the complete plan and frozen Section 02 requirements were read. The backend implementation is complete for RPT-02; frontend work remains intentionally deferred to Section 04/RPT-03.</w:t>
      </w:r>
    </w:p>
    <w:p>
      <w:r>
        <w:t>Status: RPT-02 COMPLETE FOR BACKEND ACCEPTANCE; GLOBAL PHASE 347 REMAINS IN_PROGRESS.</w:t>
      </w:r>
    </w:p>
    <w:p>
      <w:pPr>
        <w:pStyle w:val="Heading1"/>
      </w:pPr>
      <w:r>
        <w:t>Section 03 Verification</w:t>
      </w:r>
    </w:p>
    <w:p>
      <w:pPr>
        <w:pStyle w:val="ListBullet"/>
      </w:pPr>
      <w:r>
        <w:t>Focused POS report regression and breakdown coverage passed: 6 suites, 96 tests. The existing overview/export suites are green, including the pre-existing transaction-row pos_profit_loss contract correction.</w:t>
      </w:r>
    </w:p>
    <w:p>
      <w:pPr>
        <w:pStyle w:val="ListBullet"/>
      </w:pPr>
      <w:r>
        <w:t>Additional route transport verification passed: 3 suites, 46 tests, including the compatibility facade and existing POS void routes.</w:t>
      </w:r>
    </w:p>
    <w:p>
      <w:pPr>
        <w:pStyle w:val="ListBullet"/>
      </w:pPr>
      <w:r>
        <w:t>Architecture guardrails, controller boundaries, API build command, ADR validation, documentation lint, compliance checks, and git diff hygiene passed.</w:t>
      </w:r>
    </w:p>
    <w:p>
      <w:pPr>
        <w:pStyle w:val="ListBullet"/>
      </w:pPr>
      <w:r>
        <w:t>No migration, index, seed, repair, or live tenant database write was performed. MySQL port reachability was observed, but data was not mutated.</w:t>
      </w:r>
    </w:p>
    <w:p>
      <w:pPr>
        <w:pStyle w:val="ListBullet"/>
      </w:pPr>
      <w:r>
        <w:t>The complete backend suite remains non-green because of unrelated environment/schema and date-sensitive baseline failures; those are recorded in the phase evidence and are not caused by the report changes.</w:t>
      </w:r>
    </w:p>
    <w:p>
      <w:pPr>
        <w:pStyle w:val="Heading1"/>
      </w:pPr>
      <w:r>
        <w:t>Section 03 Implementation Inventory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pPr>
              <w:spacing w:after="0"/>
            </w:pPr>
            <w:r>
              <w:rPr>
                <w:b/>
                <w:color w:val="FFFFFF"/>
              </w:rPr>
              <w:t>Area</w:t>
            </w:r>
          </w:p>
        </w:tc>
        <w:tc>
          <w:tcPr>
            <w:tcW w:type="dxa" w:w="5083"/>
            <w:vAlign w:val="center"/>
            <w:shd w:fill="1F4E78"/>
          </w:tcPr>
          <w:p>
            <w:pPr>
              <w:spacing w:after="0"/>
            </w:pPr>
            <w:r>
              <w:rPr>
                <w:b/>
                <w:color w:val="FFFFFF"/>
              </w:rPr>
              <w:t>Result</w:t>
            </w:r>
          </w:p>
        </w:tc>
      </w:tr>
      <w:tr>
        <w:tc>
          <w:tcPr>
            <w:tcW w:type="dxa" w:w="5083"/>
            <w:vAlign w:val="center"/>
          </w:tcPr>
          <w:p>
            <w:pPr>
              <w:spacing w:after="0"/>
            </w:pPr>
            <w:r>
              <w:t>API</w:t>
            </w:r>
          </w:p>
        </w:tc>
        <w:tc>
          <w:tcPr>
            <w:tcW w:type="dxa" w:w="5083"/>
            <w:vAlign w:val="center"/>
          </w:tcPr>
          <w:p>
            <w:pPr>
              <w:spacing w:after="0"/>
            </w:pPr>
            <w:r>
              <w:t>Added GET /pos/reports/breakdowns with hourly/items/categories and existing filters/scope.</w:t>
            </w:r>
          </w:p>
        </w:tc>
      </w:tr>
      <w:tr>
        <w:tc>
          <w:tcPr>
            <w:tcW w:type="dxa" w:w="5083"/>
            <w:vAlign w:val="center"/>
          </w:tcPr>
          <w:p>
            <w:pPr>
              <w:spacing w:after="0"/>
            </w:pPr>
            <w:r>
              <w:t>Export</w:t>
            </w:r>
          </w:p>
        </w:tc>
        <w:tc>
          <w:tcPr>
            <w:tcW w:type="dxa" w:w="5083"/>
            <w:vAlign w:val="center"/>
          </w:tcPr>
          <w:p>
            <w:pPr>
              <w:spacing w:after="0"/>
            </w:pPr>
            <w:r>
              <w:t>Added hourly, item_sales, and category_sales CSV sections using the same breakdown service and full filtered row set.</w:t>
            </w:r>
          </w:p>
        </w:tc>
      </w:tr>
      <w:tr>
        <w:tc>
          <w:tcPr>
            <w:tcW w:type="dxa" w:w="5083"/>
            <w:vAlign w:val="center"/>
          </w:tcPr>
          <w:p>
            <w:pPr>
              <w:spacing w:after="0"/>
            </w:pPr>
            <w:r>
              <w:t>Data</w:t>
            </w:r>
          </w:p>
        </w:tc>
        <w:tc>
          <w:tcPr>
            <w:tcW w:type="dxa" w:w="5083"/>
            <w:vAlign w:val="center"/>
          </w:tcPr>
          <w:p>
            <w:pPr>
              <w:spacing w:after="0"/>
            </w:pPr>
            <w:r>
              <w:t>Reused normalizeReportLineRows; added stable item/category keys, Manila hourly buckets, pagination, sorting, and zero-safe shares.</w:t>
            </w:r>
          </w:p>
        </w:tc>
      </w:tr>
      <w:tr>
        <w:tc>
          <w:tcPr>
            <w:tcW w:type="dxa" w:w="5083"/>
            <w:vAlign w:val="center"/>
          </w:tcPr>
          <w:p>
            <w:pPr>
              <w:spacing w:after="0"/>
            </w:pPr>
            <w:r>
              <w:t>Security</w:t>
            </w:r>
          </w:p>
        </w:tc>
        <w:tc>
          <w:tcPr>
            <w:tcW w:type="dxa" w:w="5083"/>
            <w:vAlign w:val="center"/>
          </w:tcPr>
          <w:p>
            <w:pPr>
              <w:spacing w:after="0"/>
            </w:pPr>
            <w:r>
              <w:t>Reused pos:view/pos:branch_view and resolvePosReadLocationScope; cashier self-scope and fail-closed validation retained.</w:t>
            </w:r>
          </w:p>
        </w:tc>
      </w:tr>
      <w:tr>
        <w:tc>
          <w:tcPr>
            <w:tcW w:type="dxa" w:w="5083"/>
            <w:vAlign w:val="center"/>
          </w:tcPr>
          <w:p>
            <w:pPr>
              <w:spacing w:after="0"/>
            </w:pPr>
            <w:r>
              <w:t>Schema</w:t>
            </w:r>
          </w:p>
        </w:tc>
        <w:tc>
          <w:tcPr>
            <w:tcW w:type="dxa" w:w="5083"/>
            <w:vAlign w:val="center"/>
          </w:tcPr>
          <w:p>
            <w:pPr>
              <w:spacing w:after="0"/>
            </w:pPr>
            <w:r>
              <w:t>No database change; additive index deferred until measured query-plan evidence exists.</w:t>
            </w:r>
          </w:p>
        </w:tc>
      </w:tr>
      <w:tr>
        <w:tc>
          <w:tcPr>
            <w:tcW w:type="dxa" w:w="5083"/>
            <w:vAlign w:val="center"/>
          </w:tcPr>
          <w:p>
            <w:pPr>
              <w:spacing w:after="0"/>
            </w:pPr>
            <w:r>
              <w:t>Next</w:t>
            </w:r>
          </w:p>
        </w:tc>
        <w:tc>
          <w:tcPr>
            <w:tcW w:type="dxa" w:w="5083"/>
            <w:vAlign w:val="center"/>
          </w:tcPr>
          <w:p>
            <w:pPr>
              <w:spacing w:after="0"/>
            </w:pPr>
            <w:r>
              <w:t>RPT-03 / Section 04 Frontend Report UI and Export Plan.</w:t>
            </w:r>
          </w:p>
        </w:tc>
      </w:tr>
    </w:tbl>
    <w:p>
      <w:r>
        <w:br w:type="page"/>
      </w:r>
    </w:p>
    <w:p>
      <w:pPr>
        <w:pStyle w:val="Heading1"/>
      </w:pPr>
      <w:r>
        <w:t>Section 04 Completion Update</w:t>
      </w:r>
    </w:p>
    <w:p>
      <w:r>
        <w:t>Section 04 Frontend Report UI and Export Plan was executed after the complete plan, frozen Section 02 requirements and verified Section 03 backend contract were read. The shared POS Reports workspace now supports the three requested report breakdowns, active-scope export/print and versioned offline display state.</w:t>
      </w:r>
    </w:p>
    <w:p>
      <w:r>
        <w:t>Status: RPT-03 COMPLETE FOR CODE-LEVEL ACCEPTANCE; GLOBAL PHASE 347 REMAINS IN_PROGRESS.</w:t>
      </w:r>
    </w:p>
    <w:p>
      <w:pPr>
        <w:pStyle w:val="Heading1"/>
      </w:pPr>
      <w:r>
        <w:t>Section 04 Verification</w:t>
      </w:r>
    </w:p>
    <w:p>
      <w:pPr>
        <w:pStyle w:val="ListBullet"/>
      </w:pPr>
      <w:r>
        <w:t>Focused report frontend suite passed: 7 files, 47 tests, covering tabs, active-breakdown service routing, table columns/totals, server sort/page callbacks, stale offline display and existing report tabs.</w:t>
      </w:r>
    </w:p>
    <w:p>
      <w:pPr>
        <w:pStyle w:val="ListBullet"/>
      </w:pPr>
      <w:r>
        <w:t>Shared pagination regression passed: 2 files, 3 tests. Accessible page-size and previous/next labels now use the report result/title context.</w:t>
      </w:r>
    </w:p>
    <w:p>
      <w:pPr>
        <w:pStyle w:val="ListBullet"/>
      </w:pPr>
      <w:r>
        <w:t>npm run build:pos passed after the final UI changes. Vite reported only existing dynamic-import and large-chunk warnings.</w:t>
      </w:r>
    </w:p>
    <w:p>
      <w:pPr>
        <w:pStyle w:val="ListBullet"/>
      </w:pPr>
      <w:r>
        <w:t>Architecture guardrails, controller boundaries, compliance, documentation/ADR lint and git diff hygiene passed.</w:t>
      </w:r>
    </w:p>
    <w:p>
      <w:pPr>
        <w:pStyle w:val="ListBullet"/>
      </w:pPr>
      <w:r>
        <w:t>No database schema, migration, seed, repair, backfill or live tenant data mutation was performed. No commit, push, PR, merge or deployment was performed.</w:t>
      </w:r>
    </w:p>
    <w:p>
      <w:pPr>
        <w:pStyle w:val="ListBullet"/>
      </w:pPr>
      <w:r>
        <w:t>Live staging browser/performance/security evidence and DOCX visual rendering remain explicitly deferred to Section 05; the host has no LibreOffice/soffice.exe renderer.</w:t>
      </w:r>
    </w:p>
    <w:p>
      <w:pPr>
        <w:pStyle w:val="Heading1"/>
      </w:pPr>
      <w:r>
        <w:t>Section 04 Implementation Inventory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A4E8D"/>
          </w:tcPr>
          <w:p>
            <w:pPr>
              <w:spacing w:after="0"/>
            </w:pPr>
            <w:r>
              <w:rPr>
                <w:b/>
                <w:color w:val="FFFFFF"/>
                <w:sz w:val="18"/>
              </w:rPr>
              <w:t>Area</w:t>
            </w:r>
          </w:p>
        </w:tc>
        <w:tc>
          <w:tcPr>
            <w:tcW w:type="dxa" w:w="5083"/>
            <w:vAlign w:val="center"/>
            <w:shd w:fill="1A4E8D"/>
          </w:tcPr>
          <w:p>
            <w:pPr>
              <w:spacing w:after="0"/>
            </w:pPr>
            <w:r>
              <w:rPr>
                <w:b/>
                <w:color w:val="FFFFFF"/>
                <w:sz w:val="18"/>
              </w:rPr>
              <w:t>Result</w:t>
            </w:r>
          </w:p>
        </w:tc>
      </w:tr>
      <w:tr>
        <w:tc>
          <w:tcPr>
            <w:tcW w:type="dxa" w:w="5083"/>
            <w:vAlign w:val="center"/>
          </w:tcPr>
          <w:p>
            <w:pPr>
              <w:spacing w:after="0"/>
            </w:pPr>
            <w:r>
              <w:rPr>
                <w:sz w:val="18"/>
              </w:rPr>
              <w:t>Navigation and breakdown lifecycle</w:t>
            </w:r>
          </w:p>
        </w:tc>
        <w:tc>
          <w:tcPr>
            <w:tcW w:type="dxa" w:w="5083"/>
            <w:vAlign w:val="center"/>
          </w:tcPr>
          <w:p>
            <w:pPr>
              <w:spacing w:after="0"/>
            </w:pPr>
            <w:r>
              <w:rPr>
                <w:sz w:val="18"/>
              </w:rPr>
              <w:t>Added Hourly Sales, Item Sales and Sales by Category tabs with on-demand request state and page/sort reset behavior.</w:t>
            </w:r>
          </w:p>
        </w:tc>
      </w:tr>
      <w:tr>
        <w:tc>
          <w:tcPr>
            <w:tcW w:type="dxa" w:w="5083"/>
            <w:vAlign w:val="center"/>
          </w:tcPr>
          <w:p>
            <w:pPr>
              <w:spacing w:after="0"/>
            </w:pPr>
            <w:r>
              <w:rPr>
                <w:sz w:val="18"/>
              </w:rPr>
              <w:t>Data display</w:t>
            </w:r>
          </w:p>
        </w:tc>
        <w:tc>
          <w:tcPr>
            <w:tcW w:type="dxa" w:w="5083"/>
            <w:vAlign w:val="center"/>
          </w:tcPr>
          <w:p>
            <w:pPr>
              <w:spacing w:after="0"/>
            </w:pPr>
            <w:r>
              <w:rPr>
                <w:sz w:val="18"/>
              </w:rPr>
              <w:t>Added shared breakdown summary/table rendering for server-provided totals, hourly rows, item rows and category rows.</w:t>
            </w:r>
          </w:p>
        </w:tc>
      </w:tr>
      <w:tr>
        <w:tc>
          <w:tcPr>
            <w:tcW w:type="dxa" w:w="5083"/>
            <w:vAlign w:val="center"/>
          </w:tcPr>
          <w:p>
            <w:pPr>
              <w:spacing w:after="0"/>
            </w:pPr>
            <w:r>
              <w:rPr>
                <w:sz w:val="18"/>
              </w:rPr>
              <w:t>Export and print</w:t>
            </w:r>
          </w:p>
        </w:tc>
        <w:tc>
          <w:tcPr>
            <w:tcW w:type="dxa" w:w="5083"/>
            <w:vAlign w:val="center"/>
          </w:tcPr>
          <w:p>
            <w:pPr>
              <w:spacing w:after="0"/>
            </w:pPr>
            <w:r>
              <w:rPr>
                <w:sz w:val="18"/>
              </w:rPr>
              <w:t>Active breakdown section mapping, server-complete CSV contract, and print output with range/timezone/filters/generated time/summary/rows.</w:t>
            </w:r>
          </w:p>
        </w:tc>
      </w:tr>
      <w:tr>
        <w:tc>
          <w:tcPr>
            <w:tcW w:type="dxa" w:w="5083"/>
            <w:vAlign w:val="center"/>
          </w:tcPr>
          <w:p>
            <w:pPr>
              <w:spacing w:after="0"/>
            </w:pPr>
            <w:r>
              <w:rPr>
                <w:sz w:val="18"/>
              </w:rPr>
              <w:t>Offline</w:t>
            </w:r>
          </w:p>
        </w:tc>
        <w:tc>
          <w:tcPr>
            <w:tcW w:type="dxa" w:w="5083"/>
            <w:vAlign w:val="center"/>
          </w:tcPr>
          <w:p>
            <w:pPr>
              <w:spacing w:after="0"/>
            </w:pPr>
            <w:r>
              <w:rPr>
                <w:sz w:val="18"/>
              </w:rPr>
              <w:t>Version 2 scope/query-bound envelope, report type separation and explicit stale display-only messaging.</w:t>
            </w:r>
          </w:p>
        </w:tc>
      </w:tr>
      <w:tr>
        <w:tc>
          <w:tcPr>
            <w:tcW w:type="dxa" w:w="5083"/>
            <w:vAlign w:val="center"/>
          </w:tcPr>
          <w:p>
            <w:pPr>
              <w:spacing w:after="0"/>
            </w:pPr>
            <w:r>
              <w:rPr>
                <w:sz w:val="18"/>
              </w:rPr>
              <w:t>Responsive/accessibility</w:t>
            </w:r>
          </w:p>
        </w:tc>
        <w:tc>
          <w:tcPr>
            <w:tcW w:type="dxa" w:w="5083"/>
            <w:vAlign w:val="center"/>
          </w:tcPr>
          <w:p>
            <w:pPr>
              <w:spacing w:after="0"/>
            </w:pPr>
            <w:r>
              <w:rPr>
                <w:sz w:val="18"/>
              </w:rPr>
              <w:t>Server-aware responsive table, mobile cards/horizontal scroll pattern, semantic headers, sort labels and contextual pagination labels.</w:t>
            </w:r>
          </w:p>
        </w:tc>
      </w:tr>
      <w:tr>
        <w:tc>
          <w:tcPr>
            <w:tcW w:type="dxa" w:w="5083"/>
            <w:vAlign w:val="center"/>
          </w:tcPr>
          <w:p>
            <w:pPr>
              <w:spacing w:after="0"/>
            </w:pPr>
            <w:r>
              <w:rPr>
                <w:sz w:val="18"/>
              </w:rPr>
              <w:t>Database/release</w:t>
            </w:r>
          </w:p>
        </w:tc>
        <w:tc>
          <w:tcPr>
            <w:tcW w:type="dxa" w:w="5083"/>
            <w:vAlign w:val="center"/>
          </w:tcPr>
          <w:p>
            <w:pPr>
              <w:spacing w:after="0"/>
            </w:pPr>
            <w:r>
              <w:rPr>
                <w:sz w:val="18"/>
              </w:rPr>
              <w:t>No database change or release action; prior dirty worktree changes preserved.</w:t>
            </w:r>
          </w:p>
        </w:tc>
      </w:tr>
    </w:tbl>
    <w:p/>
    <w:p>
      <w:pPr>
        <w:pStyle w:val="Heading1"/>
      </w:pPr>
      <w:r>
        <w:t>Next Dependency</w:t>
      </w:r>
    </w:p>
    <w:p>
      <w:r>
        <w:t>RPT-04 / Section 05 Testing, Security, Performance and Evidence is the next eligible initiative phase. It must close live/staging QA and release evidence before any PR or deployment decision. The authoritative ledger still records global Phase 347 in_progress.</w:t>
      </w:r>
    </w:p>
    <w:p>
      <w:pPr>
        <w:pStyle w:val="Heading1"/>
      </w:pPr>
      <w:r>
        <w:t>Section 04 Shared Consumer Builds</w:t>
      </w:r>
    </w:p>
    <w:p>
      <w:r>
        <w:t>The shared web-core pagination change was verified through all three frontend consumers: POS, IMS/Skupervisor and Storefront builds passed after the final changes. Existing Vite dynamic-import and large-chunk warnings remain non-blocking and pre-date this phase.</w:t>
      </w:r>
    </w:p>
    <w:p>
      <w:r>
        <w:br w:type="page"/>
      </w:r>
    </w:p>
    <w:p>
      <w:pPr>
        <w:pStyle w:val="Heading1"/>
      </w:pPr>
      <w:r>
        <w:t>Section 05 Completion Update</w:t>
      </w:r>
    </w:p>
    <w:p>
      <w:r>
        <w:t>Section 05 Testing, Security, Performance and Evidence was executed on 2026-09-28 against StagingPOS baseline cccf6a942e7ba51e3ffaa9ff405f785cf13e389a.</w:t>
      </w:r>
    </w:p>
    <w:p>
      <w:r>
        <w:rPr>
          <w:b/>
        </w:rPr>
        <w:t>Status: PHASE 05 BLOCKED.</w:t>
      </w:r>
      <w:r>
        <w:t xml:space="preserve"> Code-level report tests, shared UI tests, builds, architecture, compliance, documentation and static safety gates pass. Staging/UAT acceptance is not complete because the available QA identity cannot read the report location scope, no frozen candidate exists, the browser remains terminal-locked, and the full backend fast matrix has unrelated failures.</w:t>
      </w:r>
    </w:p>
    <w:p>
      <w:pPr>
        <w:pStyle w:val="ListBullet"/>
      </w:pPr>
      <w:r>
        <w:t>Focused backend: 5 suites and 87 tests passed. Focused shared frontend: 8 files and 50 tests passed.</w:t>
      </w:r>
    </w:p>
    <w:p>
      <w:pPr>
        <w:pStyle w:val="ListBullet"/>
      </w:pPr>
      <w:r>
        <w:t>Builds for POS, IMS and Storefront passed. Architecture, compliance, docs/ADR, production dependency audit and diff/static safety checks passed.</w:t>
      </w:r>
    </w:p>
    <w:p>
      <w:pPr>
        <w:pStyle w:val="ListBullet"/>
      </w:pPr>
      <w:r>
        <w:t>Runtime/schema doctor passed with zero missing migrations, zero missing columns and zero warnings. Smoke was partial: the authenticated local path reached setup checks but catalog/report scope calls were denied.</w:t>
      </w:r>
    </w:p>
    <w:p>
      <w:pPr>
        <w:pStyle w:val="ListBullet"/>
      </w:pPr>
      <w:r>
        <w:t>Authenticated report probes returned 403 AUTHORIZATION_FAILED before rows or exports were produced. End-to-end two-branch/two-cashier isolation and performance evidence remain unverified.</w:t>
      </w:r>
    </w:p>
    <w:p>
      <w:pPr>
        <w:pStyle w:val="ListBullet"/>
      </w:pPr>
      <w:r>
        <w:t>The full backend fast matrix reported 16 failed suites and 38 failed assertions. Report-focused suites were green, but the overall regression gate is not green.</w:t>
      </w:r>
    </w:p>
    <w:p>
      <w:pPr>
        <w:pStyle w:val="ListBullet"/>
      </w:pPr>
      <w:r>
        <w:t>No source/database/commit/PR/push/deployment change was made by Phase 05; the current implementation remains in the pre-existing dirty worktree.</w:t>
      </w:r>
    </w:p>
    <w:p>
      <w:pPr>
        <w:pStyle w:val="Heading2"/>
      </w:pPr>
      <w:r>
        <w:t>Section 05 Evidence Artifact</w:t>
      </w:r>
    </w:p>
    <w:p>
      <w:r>
        <w:t>Detailed record: EXEC-05_Testing_Security_Performance_and_Evidence.docx. The record includes the command matrix, authenticated probe results, blocker ledger, performance limitations, release state and next eligible execution.</w:t>
      </w:r>
    </w:p>
    <w:p>
      <w:pPr>
        <w:pStyle w:val="Heading2"/>
      </w:pPr>
      <w:r>
        <w:t>Next Eligible Phase</w:t>
      </w:r>
    </w:p>
    <w:p>
      <w:r>
        <w:t>Phase 06_Implementation_Rollout_Rollback_and_Risks remains deferred. Resolve the QA scope/data setup, full-matrix regression failures, frozen-candidate requirement and document renderer blocker before attempting Phase 06. Global Phase 347 remains in_progress.</w:t>
      </w:r>
    </w:p>
    <w:sectPr w:rsidR="00FC693F" w:rsidRPr="0006063C" w:rsidSect="00034616">
      <w:headerReference w:type="default" r:id="rId9"/>
      <w:footerReference w:type="default" r:id="rId10"/>
      <w:pgSz w:w="12240" w:h="15840"/>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Execution evidence | </w:t>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DGFY POS Reports Analytics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00_Execution_Summary.docx</dc:title>
  <dc:subject>Plan execution evidence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