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EXEC-02 Requirements and Business Rules</w:t>
      </w:r>
    </w:p>
    <w:p>
      <w:r>
        <w:rPr>
          <w:i/>
          <w:color w:val="505050"/>
          <w:sz w:val="21"/>
        </w:rPr>
        <w:t>Section 02 execution and contract-freeze record</w:t>
      </w:r>
    </w:p>
    <w:p>
      <w:r>
        <w:t>Project: DGFY POS Reports Analytics Expansion | Plan version: 1.0 | Executed: 2026-09-28 | Branch: StagingPOS | Commit: cccf6a942e7ba51e3ffaa9ff405f785cf13e389a</w:t>
      </w:r>
    </w:p>
    <w:p>
      <w:pPr>
        <w:pStyle w:val="Heading1"/>
      </w:pPr>
      <w:r>
        <w:t>Plan Section Executed</w:t>
      </w:r>
    </w:p>
    <w:p>
      <w:r>
        <w:t>02 Requirements and Business Rules, with the complete Master Plan Index and referenced sections read first as required by the execution skill.</w:t>
      </w:r>
    </w:p>
    <w:p>
      <w:r>
        <w:t>Purpose of this execution: convert the approved requirements into frozen, testable behavior and close the plan’s listed open decisions before backend/frontend implementation.</w:t>
      </w:r>
    </w:p>
    <w:p>
      <w:pPr>
        <w:pStyle w:val="Heading1"/>
      </w:pPr>
      <w:r>
        <w:t>Execution Manifest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c>
          <w:tcPr>
            <w:tcW w:type="dxa" w:w="2541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Step</w:t>
            </w:r>
          </w:p>
        </w:tc>
        <w:tc>
          <w:tcPr>
            <w:tcW w:type="dxa" w:w="2541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Objective</w:t>
            </w:r>
          </w:p>
        </w:tc>
        <w:tc>
          <w:tcPr>
            <w:tcW w:type="dxa" w:w="2541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Status</w:t>
            </w:r>
          </w:p>
        </w:tc>
        <w:tc>
          <w:tcPr>
            <w:tcW w:type="dxa" w:w="2541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Evidence</w:t>
            </w:r>
          </w:p>
        </w:tc>
      </w:tr>
      <w:tr>
        <w:tc>
          <w:tcPr>
            <w:tcW w:type="dxa" w:w="254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EXEC-001</w:t>
            </w:r>
          </w:p>
        </w:tc>
        <w:tc>
          <w:tcPr>
            <w:tcW w:type="dxa" w:w="254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Read the complete plan and Section 02 requirements.</w:t>
            </w:r>
          </w:p>
        </w:tc>
        <w:tc>
          <w:tcPr>
            <w:tcW w:type="dxa" w:w="254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VERIFIED</w:t>
            </w:r>
          </w:p>
        </w:tc>
        <w:tc>
          <w:tcPr>
            <w:tcW w:type="dxa" w:w="254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Master index and Sections 01-06 read; Section 02 requirements/rules extracted.</w:t>
            </w:r>
          </w:p>
        </w:tc>
      </w:tr>
      <w:tr>
        <w:tc>
          <w:tcPr>
            <w:tcW w:type="dxa" w:w="2541"/>
            <w:shd w:fill="F5F8FC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EXEC-002</w:t>
            </w:r>
          </w:p>
        </w:tc>
        <w:tc>
          <w:tcPr>
            <w:tcW w:type="dxa" w:w="2541"/>
            <w:shd w:fill="F5F8FC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Inspect current permissions, validators, routes, scope usecases, repository semantics and migrations.</w:t>
            </w:r>
          </w:p>
        </w:tc>
        <w:tc>
          <w:tcPr>
            <w:tcW w:type="dxa" w:w="2541"/>
            <w:shd w:fill="F5F8FC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VERIFIED</w:t>
            </w:r>
          </w:p>
        </w:tc>
        <w:tc>
          <w:tcPr>
            <w:tcW w:type="dxa" w:w="2541"/>
            <w:shd w:fill="F5F8FC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pos:view/pos:branch_view, date/range validation, scope helpers and normalized line source confirmed.</w:t>
            </w:r>
          </w:p>
        </w:tc>
      </w:tr>
      <w:tr>
        <w:tc>
          <w:tcPr>
            <w:tcW w:type="dxa" w:w="254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EXEC-003</w:t>
            </w:r>
          </w:p>
        </w:tc>
        <w:tc>
          <w:tcPr>
            <w:tcW w:type="dxa" w:w="254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Close placement, date, pagination/export and inactive-category decisions.</w:t>
            </w:r>
          </w:p>
        </w:tc>
        <w:tc>
          <w:tcPr>
            <w:tcW w:type="dxa" w:w="254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VERIFIED</w:t>
            </w:r>
          </w:p>
        </w:tc>
        <w:tc>
          <w:tcPr>
            <w:tcW w:type="dxa" w:w="254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Decision register below; choices preserve existing report behavior and plan intent.</w:t>
            </w:r>
          </w:p>
        </w:tc>
      </w:tr>
      <w:tr>
        <w:tc>
          <w:tcPr>
            <w:tcW w:type="dxa" w:w="2541"/>
            <w:shd w:fill="F5F8FC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EXEC-004</w:t>
            </w:r>
          </w:p>
        </w:tc>
        <w:tc>
          <w:tcPr>
            <w:tcW w:type="dxa" w:w="2541"/>
            <w:shd w:fill="F5F8FC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Map every FR/BR/PERM/SEC/DATA/NFR requirement to implementation and verification work.</w:t>
            </w:r>
          </w:p>
        </w:tc>
        <w:tc>
          <w:tcPr>
            <w:tcW w:type="dxa" w:w="2541"/>
            <w:shd w:fill="F5F8FC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VERIFIED</w:t>
            </w:r>
          </w:p>
        </w:tc>
        <w:tc>
          <w:tcPr>
            <w:tcW w:type="dxa" w:w="2541"/>
            <w:shd w:fill="F5F8FC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Coverage matrix below assigns RPT-02/RPT-03/RPT-04/RPT-05 evidence.</w:t>
            </w:r>
          </w:p>
        </w:tc>
      </w:tr>
      <w:tr>
        <w:tc>
          <w:tcPr>
            <w:tcW w:type="dxa" w:w="254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EXEC-005</w:t>
            </w:r>
          </w:p>
        </w:tc>
        <w:tc>
          <w:tcPr>
            <w:tcW w:type="dxa" w:w="254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Run architecture, ADR, docs, compliance and targeted authorization/validation checks.</w:t>
            </w:r>
          </w:p>
        </w:tc>
        <w:tc>
          <w:tcPr>
            <w:tcW w:type="dxa" w:w="254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VERIFIED</w:t>
            </w:r>
          </w:p>
        </w:tc>
        <w:tc>
          <w:tcPr>
            <w:tcW w:type="dxa" w:w="254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All listed checks passed; 25 targeted usecase/validator tests passed.</w:t>
            </w:r>
          </w:p>
        </w:tc>
      </w:tr>
      <w:tr>
        <w:tc>
          <w:tcPr>
            <w:tcW w:type="dxa" w:w="2541"/>
            <w:shd w:fill="F5F8FC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EXEC-006</w:t>
            </w:r>
          </w:p>
        </w:tc>
        <w:tc>
          <w:tcPr>
            <w:tcW w:type="dxa" w:w="2541"/>
            <w:shd w:fill="F5F8FC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Independent audit for unresolved decisions or architecture/security drift.</w:t>
            </w:r>
          </w:p>
        </w:tc>
        <w:tc>
          <w:tcPr>
            <w:tcW w:type="dxa" w:w="2541"/>
            <w:shd w:fill="F5F8FC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VERIFIED WITH CARRIED-FORWARD BASELINE DRIFT</w:t>
            </w:r>
          </w:p>
        </w:tc>
        <w:tc>
          <w:tcPr>
            <w:tcW w:type="dxa" w:w="2541"/>
            <w:shd w:fill="F5F8FC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No Section 02 decision remains open; prior report-test drift remains a later release gate.</w:t>
            </w:r>
          </w:p>
        </w:tc>
      </w:tr>
    </w:tbl>
    <w:p>
      <w:pPr>
        <w:spacing w:after="20"/>
      </w:pPr>
    </w:p>
    <w:p>
      <w:pPr>
        <w:pStyle w:val="Heading1"/>
      </w:pPr>
      <w:r>
        <w:t>Frozen Decision Register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3389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ID</w:t>
            </w:r>
          </w:p>
        </w:tc>
        <w:tc>
          <w:tcPr>
            <w:tcW w:type="dxa" w:w="3389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Decision</w:t>
            </w:r>
          </w:p>
        </w:tc>
        <w:tc>
          <w:tcPr>
            <w:tcW w:type="dxa" w:w="3389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Execution choice and rationale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D-02-001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Product placement and labels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Use three top-level tabs in the existing Reports workspace: Hourly Sales, Item Sales and Sales by Category. This preserves the existing navigation and avoids a new app/route.</w:t>
            </w:r>
          </w:p>
        </w:tc>
      </w:tr>
      <w:tr>
        <w:tc>
          <w:tcPr>
            <w:tcW w:type="dxa" w:w="3389"/>
            <w:shd w:fill="F5F8FC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D-02-002</w:t>
            </w:r>
          </w:p>
        </w:tc>
        <w:tc>
          <w:tcPr>
            <w:tcW w:type="dxa" w:w="3389"/>
            <w:shd w:fill="F5F8FC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Maximum report date range</w:t>
            </w:r>
          </w:p>
        </w:tc>
        <w:tc>
          <w:tcPr>
            <w:tcW w:type="dxa" w:w="3389"/>
            <w:shd w:fill="F5F8FC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Reuse the current inclusive date range and 366-day maximum. Hourly rows are bounded by page/limit; changing the global range policy is out of scope.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D-02-003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Complete Item Sales output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Use server pagination with default limit 50 and maximum 200. This is a complete report across pages, not a top-N report and not an oversized overview payload.</w:t>
            </w:r>
          </w:p>
        </w:tc>
      </w:tr>
      <w:tr>
        <w:tc>
          <w:tcPr>
            <w:tcW w:type="dxa" w:w="3389"/>
            <w:shd w:fill="F5F8FC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D-02-004</w:t>
            </w:r>
          </w:p>
        </w:tc>
        <w:tc>
          <w:tcPr>
            <w:tcW w:type="dxa" w:w="3389"/>
            <w:shd w:fill="F5F8FC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Export row policy</w:t>
            </w:r>
          </w:p>
        </w:tc>
        <w:tc>
          <w:tcPr>
            <w:tcW w:type="dxa" w:w="3389"/>
            <w:shd w:fill="F5F8FC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Export the complete filtered breakdown with the same tenant/location/cashier/date/filter/sort semantics. Page/limit must not silently truncate the CSV; the visible table is a paginated window of the same filtered dataset.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D-02-005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Inactive and missing categories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Reuse current live category resolution. Rows resolving to an inactive category remain grouped by that resolved name; no new inactive marker is invented. Null/empty category uses stable key uncategorized and label Uncategorized. Existing active-only filter options remain unchanged.</w:t>
            </w:r>
          </w:p>
        </w:tc>
      </w:tr>
      <w:tr>
        <w:tc>
          <w:tcPr>
            <w:tcW w:type="dxa" w:w="3389"/>
            <w:shd w:fill="F5F8FC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D-02-006</w:t>
            </w:r>
          </w:p>
        </w:tc>
        <w:tc>
          <w:tcPr>
            <w:tcW w:type="dxa" w:w="3389"/>
            <w:shd w:fill="F5F8FC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Permission contract</w:t>
            </w:r>
          </w:p>
        </w:tc>
        <w:tc>
          <w:tcPr>
            <w:tcW w:type="dxa" w:w="3389"/>
            <w:shd w:fill="F5F8FC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Use existing pos:view or pos:branch_view route authorization, resolvePosReadLocationScope and cashier self-scope. Do not switch to reports:view/reports:export without a separate authorization decision.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D-02-007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Persistence and migration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Use existing POS transaction/line/item/folder data. No aggregate table or migration. An additive index is allowed only after measured query-plan evidence and a separate migration review.</w:t>
            </w:r>
          </w:p>
        </w:tc>
      </w:tr>
      <w:tr>
        <w:tc>
          <w:tcPr>
            <w:tcW w:type="dxa" w:w="3389"/>
            <w:shd w:fill="F5F8FC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D-02-008</w:t>
            </w:r>
          </w:p>
        </w:tc>
        <w:tc>
          <w:tcPr>
            <w:tcW w:type="dxa" w:w="3389"/>
            <w:shd w:fill="F5F8FC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Performance evidence</w:t>
            </w:r>
          </w:p>
        </w:tc>
        <w:tc>
          <w:tcPr>
            <w:tcW w:type="dxa" w:w="3389"/>
            <w:shd w:fill="F5F8FC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Use current overview behavior as the baseline. RPT-04 must measure duration, query count, rows, payload and export time before rollout; no unmeasured threshold is claimed as passed here.</w:t>
            </w:r>
          </w:p>
        </w:tc>
      </w:tr>
    </w:tbl>
    <w:p>
      <w:pPr>
        <w:spacing w:after="20"/>
      </w:pPr>
    </w:p>
    <w:p>
      <w:pPr>
        <w:pStyle w:val="Heading1"/>
      </w:pPr>
      <w:r>
        <w:t>Requirement Coverage Matrix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c>
          <w:tcPr>
            <w:tcW w:type="dxa" w:w="2541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Requirement group</w:t>
            </w:r>
          </w:p>
        </w:tc>
        <w:tc>
          <w:tcPr>
            <w:tcW w:type="dxa" w:w="2541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Implementation phase</w:t>
            </w:r>
          </w:p>
        </w:tc>
        <w:tc>
          <w:tcPr>
            <w:tcW w:type="dxa" w:w="2541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Tests/evidence</w:t>
            </w:r>
          </w:p>
        </w:tc>
        <w:tc>
          <w:tcPr>
            <w:tcW w:type="dxa" w:w="2541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Status after Section 02</w:t>
            </w:r>
          </w:p>
        </w:tc>
      </w:tr>
      <w:tr>
        <w:tc>
          <w:tcPr>
            <w:tcW w:type="dxa" w:w="254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FR-REP-001 Hourly Sales</w:t>
            </w:r>
          </w:p>
        </w:tc>
        <w:tc>
          <w:tcPr>
            <w:tcW w:type="dxa" w:w="254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RPT-02 backend; RPT-03 UI</w:t>
            </w:r>
          </w:p>
        </w:tc>
        <w:tc>
          <w:tcPr>
            <w:tcW w:type="dxa" w:w="254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BE-01, BE-02, FE-01, FE-05</w:t>
            </w:r>
          </w:p>
        </w:tc>
        <w:tc>
          <w:tcPr>
            <w:tcW w:type="dxa" w:w="254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FROZEN; DEFERRED BY PLAN</w:t>
            </w:r>
          </w:p>
        </w:tc>
      </w:tr>
      <w:tr>
        <w:tc>
          <w:tcPr>
            <w:tcW w:type="dxa" w:w="2541"/>
            <w:shd w:fill="F5F8FC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FR-REP-002 Item Sales</w:t>
            </w:r>
          </w:p>
        </w:tc>
        <w:tc>
          <w:tcPr>
            <w:tcW w:type="dxa" w:w="2541"/>
            <w:shd w:fill="F5F8FC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RPT-02; RPT-03</w:t>
            </w:r>
          </w:p>
        </w:tc>
        <w:tc>
          <w:tcPr>
            <w:tcW w:type="dxa" w:w="2541"/>
            <w:shd w:fill="F5F8FC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BE-03, BE-05, BE-10, FE-01, FE-04, FE-05</w:t>
            </w:r>
          </w:p>
        </w:tc>
        <w:tc>
          <w:tcPr>
            <w:tcW w:type="dxa" w:w="2541"/>
            <w:shd w:fill="F5F8FC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FROZEN; DEFERRED BY PLAN</w:t>
            </w:r>
          </w:p>
        </w:tc>
      </w:tr>
      <w:tr>
        <w:tc>
          <w:tcPr>
            <w:tcW w:type="dxa" w:w="254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FR-REP-003 Sales by Category</w:t>
            </w:r>
          </w:p>
        </w:tc>
        <w:tc>
          <w:tcPr>
            <w:tcW w:type="dxa" w:w="254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RPT-02; RPT-03</w:t>
            </w:r>
          </w:p>
        </w:tc>
        <w:tc>
          <w:tcPr>
            <w:tcW w:type="dxa" w:w="254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BE-03, BE-06, BE-10, FE-01, FE-04, FE-05</w:t>
            </w:r>
          </w:p>
        </w:tc>
        <w:tc>
          <w:tcPr>
            <w:tcW w:type="dxa" w:w="254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FROZEN; DEFERRED BY PLAN</w:t>
            </w:r>
          </w:p>
        </w:tc>
      </w:tr>
      <w:tr>
        <w:tc>
          <w:tcPr>
            <w:tcW w:type="dxa" w:w="2541"/>
            <w:shd w:fill="F5F8FC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FR-REP-004 Shared filters/scope</w:t>
            </w:r>
          </w:p>
        </w:tc>
        <w:tc>
          <w:tcPr>
            <w:tcW w:type="dxa" w:w="2541"/>
            <w:shd w:fill="F5F8FC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RPT-02; RPT-03; RPT-04</w:t>
            </w:r>
          </w:p>
        </w:tc>
        <w:tc>
          <w:tcPr>
            <w:tcW w:type="dxa" w:w="2541"/>
            <w:shd w:fill="F5F8FC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BE-07, BE-08, BE-09, FE-02, FE-03</w:t>
            </w:r>
          </w:p>
        </w:tc>
        <w:tc>
          <w:tcPr>
            <w:tcW w:type="dxa" w:w="2541"/>
            <w:shd w:fill="F5F8FC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FROZEN; target tests pending</w:t>
            </w:r>
          </w:p>
        </w:tc>
      </w:tr>
      <w:tr>
        <w:tc>
          <w:tcPr>
            <w:tcW w:type="dxa" w:w="254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FR-REP-005 Server CSV</w:t>
            </w:r>
          </w:p>
        </w:tc>
        <w:tc>
          <w:tcPr>
            <w:tcW w:type="dxa" w:w="254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RPT-02; RPT-03; RPT-04</w:t>
            </w:r>
          </w:p>
        </w:tc>
        <w:tc>
          <w:tcPr>
            <w:tcW w:type="dxa" w:w="254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CSV matrix, FE-05</w:t>
            </w:r>
          </w:p>
        </w:tc>
        <w:tc>
          <w:tcPr>
            <w:tcW w:type="dxa" w:w="254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FROZEN; target tests pending</w:t>
            </w:r>
          </w:p>
        </w:tc>
      </w:tr>
      <w:tr>
        <w:tc>
          <w:tcPr>
            <w:tcW w:type="dxa" w:w="2541"/>
            <w:shd w:fill="F5F8FC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BR-REP-001 to 007</w:t>
            </w:r>
          </w:p>
        </w:tc>
        <w:tc>
          <w:tcPr>
            <w:tcW w:type="dxa" w:w="2541"/>
            <w:shd w:fill="F5F8FC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RPT-02; RPT-04</w:t>
            </w:r>
          </w:p>
        </w:tc>
        <w:tc>
          <w:tcPr>
            <w:tcW w:type="dxa" w:w="2541"/>
            <w:shd w:fill="F5F8FC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BE-01 to BE-06, BE-10</w:t>
            </w:r>
          </w:p>
        </w:tc>
        <w:tc>
          <w:tcPr>
            <w:tcW w:type="dxa" w:w="2541"/>
            <w:shd w:fill="F5F8FC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FROZEN; implementation verification pending</w:t>
            </w:r>
          </w:p>
        </w:tc>
      </w:tr>
      <w:tr>
        <w:tc>
          <w:tcPr>
            <w:tcW w:type="dxa" w:w="254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PERM-REP-001 / SEC-REP-001 to 004</w:t>
            </w:r>
          </w:p>
        </w:tc>
        <w:tc>
          <w:tcPr>
            <w:tcW w:type="dxa" w:w="254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RPT-02; RPT-04</w:t>
            </w:r>
          </w:p>
        </w:tc>
        <w:tc>
          <w:tcPr>
            <w:tcW w:type="dxa" w:w="254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BE-07 to BE-09 plus direct API bypass tests</w:t>
            </w:r>
          </w:p>
        </w:tc>
        <w:tc>
          <w:tcPr>
            <w:tcW w:type="dxa" w:w="254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FROZEN; current policy verified, new route pending</w:t>
            </w:r>
          </w:p>
        </w:tc>
      </w:tr>
      <w:tr>
        <w:tc>
          <w:tcPr>
            <w:tcW w:type="dxa" w:w="2541"/>
            <w:shd w:fill="F5F8FC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DATA-REP-001 to 003</w:t>
            </w:r>
          </w:p>
        </w:tc>
        <w:tc>
          <w:tcPr>
            <w:tcW w:type="dxa" w:w="2541"/>
            <w:shd w:fill="F5F8FC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RPT-02; RPT-04</w:t>
            </w:r>
          </w:p>
        </w:tc>
        <w:tc>
          <w:tcPr>
            <w:tcW w:type="dxa" w:w="2541"/>
            <w:shd w:fill="F5F8FC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Repository fixtures, parity and migration review</w:t>
            </w:r>
          </w:p>
        </w:tc>
        <w:tc>
          <w:tcPr>
            <w:tcW w:type="dxa" w:w="2541"/>
            <w:shd w:fill="F5F8FC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FROZEN; current source verified</w:t>
            </w:r>
          </w:p>
        </w:tc>
      </w:tr>
      <w:tr>
        <w:tc>
          <w:tcPr>
            <w:tcW w:type="dxa" w:w="254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NFR-REP-001 to 004</w:t>
            </w:r>
          </w:p>
        </w:tc>
        <w:tc>
          <w:tcPr>
            <w:tcW w:type="dxa" w:w="254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RPT-02 to RPT-05</w:t>
            </w:r>
          </w:p>
        </w:tc>
        <w:tc>
          <w:tcPr>
            <w:tcW w:type="dxa" w:w="254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Performance, accessibility, offline, observability evidence</w:t>
            </w:r>
          </w:p>
        </w:tc>
        <w:tc>
          <w:tcPr>
            <w:tcW w:type="dxa" w:w="254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FROZEN; evidence pending implementation</w:t>
            </w:r>
          </w:p>
        </w:tc>
      </w:tr>
    </w:tbl>
    <w:p>
      <w:pPr>
        <w:spacing w:after="20"/>
      </w:pPr>
    </w:p>
    <w:p>
      <w:pPr>
        <w:pStyle w:val="Heading1"/>
      </w:pPr>
      <w:r>
        <w:t>Business-Rule Verification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3389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Rule</w:t>
            </w:r>
          </w:p>
        </w:tc>
        <w:tc>
          <w:tcPr>
            <w:tcW w:type="dxa" w:w="3389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Current-system evidence</w:t>
            </w:r>
          </w:p>
        </w:tc>
        <w:tc>
          <w:tcPr>
            <w:tcW w:type="dxa" w:w="3389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Section 02 result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BR-REP-001 Manila time and half-open range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Current report range helpers and Manila date utilities exist; current validator/usecase enforce YYYY-MM-DD and maximum 366 days.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FROZEN; hourly bucket test assigned BE-01/BE-02.</w:t>
            </w:r>
          </w:p>
        </w:tc>
      </w:tr>
      <w:tr>
        <w:tc>
          <w:tcPr>
            <w:tcW w:type="dxa" w:w="3389"/>
            <w:shd w:fill="F5F8FC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BR-REP-002 normalized lines</w:t>
            </w:r>
          </w:p>
        </w:tc>
        <w:tc>
          <w:tcPr>
            <w:tcW w:type="dxa" w:w="3389"/>
            <w:shd w:fill="F5F8FC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normalizeReportLineRows feeds current report summary/top-items/profit paths.</w:t>
            </w:r>
          </w:p>
        </w:tc>
        <w:tc>
          <w:tcPr>
            <w:tcW w:type="dxa" w:w="3389"/>
            <w:shd w:fill="F5F8FC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FROZEN; breakdown reuse assigned RPT-02.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BR-REP-003 snapshots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Current normalizer prefers line item_name_snapshot/sku_snapshot with live fallback.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FROZEN; regression fixture assigned BE-05.</w:t>
            </w:r>
          </w:p>
        </w:tc>
      </w:tr>
      <w:tr>
        <w:tc>
          <w:tcPr>
            <w:tcW w:type="dxa" w:w="3389"/>
            <w:shd w:fill="F5F8FC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BR-REP-004 live categories</w:t>
            </w:r>
          </w:p>
        </w:tc>
        <w:tc>
          <w:tcPr>
            <w:tcW w:type="dxa" w:w="3389"/>
            <w:shd w:fill="F5F8FC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resolveReportItemCategory uses folder name, product_folder, then legacy category.</w:t>
            </w:r>
          </w:p>
        </w:tc>
        <w:tc>
          <w:tcPr>
            <w:tcW w:type="dxa" w:w="3389"/>
            <w:shd w:fill="F5F8FC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FROZEN; decision D-02-005 and BE-06.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BR-REP-005 reversals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Current normalizer maps voided/refunded rows to refund/void amount and zero net line sales.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FROZEN; regression fixture assigned BE-04.</w:t>
            </w:r>
          </w:p>
        </w:tc>
      </w:tr>
      <w:tr>
        <w:tc>
          <w:tcPr>
            <w:tcW w:type="dxa" w:w="3389"/>
            <w:shd w:fill="F5F8FC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BR-REP-006 uncategorized</w:t>
            </w:r>
          </w:p>
        </w:tc>
        <w:tc>
          <w:tcPr>
            <w:tcW w:type="dxa" w:w="3389"/>
            <w:shd w:fill="F5F8FC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Current row can have null category; target stable key/label is now explicitly fixed as uncategorized/Uncategorized.</w:t>
            </w:r>
          </w:p>
        </w:tc>
        <w:tc>
          <w:tcPr>
            <w:tcW w:type="dxa" w:w="3389"/>
            <w:shd w:fill="F5F8FC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FROZEN; null-category fixture assigned.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BR-REP-007 mode-aware costs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Existing COGS/profit fields are preserved; no new stock-cost behavior is authorized.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FROZEN; mode/cost fixture assigned.</w:t>
            </w:r>
          </w:p>
        </w:tc>
      </w:tr>
    </w:tbl>
    <w:p>
      <w:pPr>
        <w:spacing w:after="20"/>
      </w:pPr>
    </w:p>
    <w:p>
      <w:pPr>
        <w:pStyle w:val="Heading1"/>
      </w:pPr>
      <w:r>
        <w:t>Permission, Security and Data Verification</w:t>
      </w:r>
    </w:p>
    <w:p>
      <w:pPr>
        <w:pStyle w:val="ListBullet"/>
      </w:pPr>
      <w:r>
        <w:t>Current report routes authorize pos:view or pos:branch_view. This is retained as the target contract.</w:t>
      </w:r>
    </w:p>
    <w:p>
      <w:pPr>
        <w:pStyle w:val="ListBullet"/>
      </w:pPr>
      <w:r>
        <w:t>Current usecase forces a cashier to their own cashier_id and resolves location access through the fail-closed scope helper. The new breakdown route must call the same helpers.</w:t>
      </w:r>
    </w:p>
    <w:p>
      <w:pPr>
        <w:pStyle w:val="ListBullet"/>
      </w:pPr>
      <w:r>
        <w:t>The validator currently allowlists payment/source/category values and enforces positive numeric IDs and bounded page/limit. New breakdown/sort values will be allowlisted in RPT-02.</w:t>
      </w:r>
    </w:p>
    <w:p>
      <w:pPr>
        <w:pStyle w:val="ListBullet"/>
      </w:pPr>
      <w:r>
        <w:t>Existing POS transactions, transaction lines, item snapshots, item folders and created_at are the source of truth. No persisted aggregate table is authorized by this phase.</w:t>
      </w:r>
    </w:p>
    <w:p>
      <w:pPr>
        <w:pStyle w:val="ListBullet"/>
      </w:pPr>
      <w:r>
        <w:t>Direct bypass, foreign-tenant/location, cashier mismatch, malformed-sort, export and missing-session tests are assigned to RPT-02/RPT-04 because the new route does not exist yet.</w:t>
      </w:r>
    </w:p>
    <w:p>
      <w:pPr>
        <w:pStyle w:val="Heading1"/>
      </w:pPr>
      <w:r>
        <w:t>Architecture and ADR Decision</w:t>
      </w:r>
    </w:p>
    <w:p>
      <w:r>
        <w:t>No new ADR is required for Section 02. The frozen requirements remain inside existing defaults and snapshots: ADR 0005 read-only sales read model, ADR 0029 POS sales/report ownership, ADR 0039 lifecycle/strictness rules, ADR 0040 analytic cost/profit semantics, and ADR 0071 shared web-core frontend verification. A new or amended ADR would be required only if implementation changes a binding boundary, historical category ownership, or permission policy.</w:t>
      </w:r>
    </w:p>
    <w:p>
      <w:pPr>
        <w:pStyle w:val="Heading1"/>
      </w:pPr>
      <w:r>
        <w:t>Verification Evidence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Check</w:t>
            </w:r>
          </w:p>
        </w:tc>
        <w:tc>
          <w:tcPr>
            <w:tcW w:type="dxa" w:w="5083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Result</w:t>
            </w:r>
          </w:p>
        </w:tc>
      </w:tr>
      <w:tr>
        <w:tc>
          <w:tcPr>
            <w:tcW w:type="dxa" w:w="508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npm run check:architecture</w:t>
            </w:r>
          </w:p>
        </w:tc>
        <w:tc>
          <w:tcPr>
            <w:tcW w:type="dxa" w:w="508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PASS: ArchitectureGuardrails 55 modules/617 files; ControllerBoundary 101 controllers.</w:t>
            </w:r>
          </w:p>
        </w:tc>
      </w:tr>
      <w:tr>
        <w:tc>
          <w:tcPr>
            <w:tcW w:type="dxa" w:w="5083"/>
            <w:shd w:fill="F5F8FC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npm run check:adr</w:t>
            </w:r>
          </w:p>
        </w:tc>
        <w:tc>
          <w:tcPr>
            <w:tcW w:type="dxa" w:w="5083"/>
            <w:shd w:fill="F5F8FC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PASS: 92 ADRs validated.</w:t>
            </w:r>
          </w:p>
        </w:tc>
      </w:tr>
      <w:tr>
        <w:tc>
          <w:tcPr>
            <w:tcW w:type="dxa" w:w="508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npm run lint:docs</w:t>
            </w:r>
          </w:p>
        </w:tc>
        <w:tc>
          <w:tcPr>
            <w:tcW w:type="dxa" w:w="508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PASS: 30 governed docs validated; ADR check also passed.</w:t>
            </w:r>
          </w:p>
        </w:tc>
      </w:tr>
      <w:tr>
        <w:tc>
          <w:tcPr>
            <w:tcW w:type="dxa" w:w="5083"/>
            <w:shd w:fill="F5F8FC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npm run check:compliance</w:t>
            </w:r>
          </w:p>
        </w:tc>
        <w:tc>
          <w:tcPr>
            <w:tcW w:type="dxa" w:w="5083"/>
            <w:shd w:fill="F5F8FC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PASS: sensitive-file and API-contract checks passed.</w:t>
            </w:r>
          </w:p>
        </w:tc>
      </w:tr>
      <w:tr>
        <w:tc>
          <w:tcPr>
            <w:tcW w:type="dxa" w:w="508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POS report usecase/validator tests</w:t>
            </w:r>
          </w:p>
        </w:tc>
        <w:tc>
          <w:tcPr>
            <w:tcW w:type="dxa" w:w="508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PASS: 25 tests.</w:t>
            </w:r>
          </w:p>
        </w:tc>
      </w:tr>
      <w:tr>
        <w:tc>
          <w:tcPr>
            <w:tcW w:type="dxa" w:w="5083"/>
            <w:shd w:fill="F5F8FC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Database/migration impact</w:t>
            </w:r>
          </w:p>
        </w:tc>
        <w:tc>
          <w:tcPr>
            <w:tcW w:type="dxa" w:w="5083"/>
            <w:shd w:fill="F5F8FC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No mutation; existing MySQL port reachable; no migration required by frozen requirements.</w:t>
            </w:r>
          </w:p>
        </w:tc>
      </w:tr>
    </w:tbl>
    <w:p>
      <w:pPr>
        <w:spacing w:after="20"/>
      </w:pPr>
    </w:p>
    <w:p>
      <w:pPr>
        <w:pStyle w:val="Heading1"/>
      </w:pPr>
      <w:r>
        <w:t>Acceptance Criteria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3389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Criterion</w:t>
            </w:r>
          </w:p>
        </w:tc>
        <w:tc>
          <w:tcPr>
            <w:tcW w:type="dxa" w:w="3389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Status</w:t>
            </w:r>
          </w:p>
        </w:tc>
        <w:tc>
          <w:tcPr>
            <w:tcW w:type="dxa" w:w="3389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Evidence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Every requirement has an executable test or evidence row.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PASS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Coverage matrix maps all Section 02 requirement groups to phases and test IDs.</w:t>
            </w:r>
          </w:p>
        </w:tc>
      </w:tr>
      <w:tr>
        <w:tc>
          <w:tcPr>
            <w:tcW w:type="dxa" w:w="3389"/>
            <w:shd w:fill="F5F8FC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No financial or authorization semantics change without an explicit decision.</w:t>
            </w:r>
          </w:p>
        </w:tc>
        <w:tc>
          <w:tcPr>
            <w:tcW w:type="dxa" w:w="3389"/>
            <w:shd w:fill="F5F8FC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PASS</w:t>
            </w:r>
          </w:p>
        </w:tc>
        <w:tc>
          <w:tcPr>
            <w:tcW w:type="dxa" w:w="3389"/>
            <w:shd w:fill="F5F8FC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Decision register preserves normalized-line and current permission/scope semantics.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All unresolved Section 02 decisions are closed in the implementation handoff.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PASS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D-02-001 through D-02-008 recorded above.</w:t>
            </w:r>
          </w:p>
        </w:tc>
      </w:tr>
    </w:tbl>
    <w:p>
      <w:pPr>
        <w:spacing w:after="20"/>
      </w:pPr>
    </w:p>
    <w:p>
      <w:pPr>
        <w:pStyle w:val="Heading1"/>
      </w:pPr>
      <w:r>
        <w:t>Problems and Carried-Forward Risks</w:t>
      </w:r>
    </w:p>
    <w:p>
      <w:pPr>
        <w:pStyle w:val="ListBullet"/>
      </w:pPr>
      <w:r>
        <w:t>The one backend and two frontend report-test drifts recorded in EXEC-01 remain unresolved. They are not caused by this requirements-freeze execution, but must be resolved or explicitly corrected before release-quality verification.</w:t>
      </w:r>
    </w:p>
    <w:p>
      <w:pPr>
        <w:pStyle w:val="ListBullet"/>
      </w:pPr>
      <w:r>
        <w:t>The new endpoint and UI do not yet exist. This is DEFERRED BY PLAN, not claimed as implemented.</w:t>
      </w:r>
    </w:p>
    <w:p>
      <w:pPr>
        <w:pStyle w:val="ListBullet"/>
      </w:pPr>
      <w:r>
        <w:t>Global phase numbering remains unresolved because Phase 347 is in_progress in the authoritative ledger and Implementation.md separately names Phase 348 for another initiative.</w:t>
      </w:r>
    </w:p>
    <w:p>
      <w:pPr>
        <w:pStyle w:val="ListBullet"/>
      </w:pPr>
      <w:r>
        <w:t>Visual DOCX rendering remains unavailable because LibreOffice/soffice.exe is not installed; structural validation is available.</w:t>
      </w:r>
    </w:p>
    <w:p>
      <w:pPr>
        <w:pStyle w:val="Heading1"/>
      </w:pPr>
      <w:r>
        <w:t>Files and Database Changes</w:t>
      </w:r>
    </w:p>
    <w:p>
      <w:r>
        <w:t>Application files changed: none. Database changes: none. Migrations: none. Existing cashier-history dirty changes were preserved. Outputs from this execution are the updated 00_Execution_Summary.docx and this EXEC-02 document.</w:t>
      </w:r>
    </w:p>
    <w:p>
      <w:pPr>
        <w:pStyle w:val="Heading1"/>
      </w:pPr>
      <w:r>
        <w:t>Final Status</w:t>
      </w:r>
    </w:p>
    <w:p>
      <w:r>
        <w:t>SECTION 02 COMPLETE — REQUIREMENTS FROZEN; IMPLEMENTATION DEFERRED BY PLAN TO RPT-02/RPT-03. Baseline report-test drift remains a documented release-gate finding.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65" w:right="1037" w:bottom="893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 xml:space="preserve">Execution evidence | </w:t>
      <w:fldChar w:fldCharType="begin"/>
      <w:instrText xml:space="preserve"> PAGE </w:instrText>
      <w:fldChar w:fldCharType="separate">
        <w:t>1</w:t>
      </w:fldCha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646464"/>
        <w:sz w:val="16"/>
      </w:rPr>
      <w:t>DGFY POS Reports Analytics Expansion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0" w:lineRule="auto"/>
    </w:pPr>
    <w:rPr>
      <w:rFonts w:ascii="Aptos" w:hAnsi="Aptos"/>
      <w:color w:val="20202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80"/>
      <w:outlineLvl w:val="0"/>
    </w:pPr>
    <w:rPr>
      <w:rFonts w:asciiTheme="majorHAnsi" w:eastAsiaTheme="majorEastAsia" w:hAnsiTheme="majorHAnsi" w:cstheme="majorBidi" w:ascii="Aptos" w:hAnsi="Aptos"/>
      <w:b/>
      <w:bCs/>
      <w:color w:val="1F4E79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Aptos" w:hAnsi="Aptos"/>
      <w:b/>
      <w:bCs/>
      <w:color w:val="373737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80" w:line="240" w:lineRule="auto" w:before="160"/>
      <w:contextualSpacing/>
    </w:pPr>
    <w:rPr>
      <w:rFonts w:asciiTheme="majorHAnsi" w:eastAsiaTheme="majorEastAsia" w:hAnsiTheme="majorHAnsi" w:cstheme="majorBidi" w:ascii="Aptos" w:hAnsi="Aptos"/>
      <w:b/>
      <w:color w:val="1F4E79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40"/>
      <w:contextualSpacing/>
    </w:pPr>
    <w:rPr>
      <w:rFonts w:ascii="Aptos" w:hAnsi="Aptos"/>
      <w:sz w:val="2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40"/>
      <w:contextualSpacing/>
    </w:pPr>
    <w:rPr>
      <w:rFonts w:ascii="Aptos" w:hAnsi="Aptos"/>
      <w:sz w:val="20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EXEC-02 Requirements and Business Rules</dc:title>
  <dc:subject>Plan execution evidence</dc:subject>
  <dc:creator>Codex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