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00. Plan Index and Decision Record</w:t>
      </w:r>
    </w:p>
    <w:p>
      <w:pPr>
        <w:spacing w:after="160"/>
      </w:pPr>
      <w:r>
        <w:rPr>
          <w:i/>
          <w:color w:val="5A5A5A"/>
        </w:rPr>
        <w:t>Repository-grounded implementation plan | Planning only</w:t>
      </w:r>
    </w:p>
    <w:tbl>
      <w:tblPr>
        <w:tblW w:type="auto" w:w="0"/>
        <w:jc w:val="left"/>
        <w:tblLayout w:type="autofit"/>
        <w:tblLook w:firstColumn="1" w:firstRow="1" w:lastColumn="0" w:lastRow="0" w:noHBand="0" w:noVBand="1" w:val="04A0"/>
      </w:tblPr>
      <w:tblGrid>
        <w:gridCol w:w="5083"/>
        <w:gridCol w:w="5083"/>
      </w:tblGrid>
      <w:tr>
        <w:tc>
          <w:tcPr>
            <w:tcW w:type="dxa" w:w="5083"/>
            <w:vAlign w:val="center"/>
            <w:tcBorders>
              <w:top w:val="single" w:sz="4" w:color="D9E2F3"/>
              <w:left w:val="single" w:sz="4" w:color="D9E2F3"/>
              <w:bottom w:val="single" w:sz="4" w:color="D9E2F3"/>
              <w:right w:val="single" w:sz="4" w:color="D9E2F3"/>
            </w:tcBorders>
            <w:shd w:fill="D9EAF7"/>
          </w:tcPr>
          <w:p>
            <w:r>
              <w:rPr>
                <w:b/>
              </w:rPr>
              <w:t>Project Name</w:t>
            </w:r>
          </w:p>
        </w:tc>
        <w:tc>
          <w:tcPr>
            <w:tcW w:type="dxa" w:w="5083"/>
            <w:vAlign w:val="center"/>
            <w:tcBorders>
              <w:top w:val="single" w:sz="4" w:color="D9E2F3"/>
              <w:left w:val="single" w:sz="4" w:color="D9E2F3"/>
              <w:bottom w:val="single" w:sz="4" w:color="D9E2F3"/>
              <w:right w:val="single" w:sz="4" w:color="D9E2F3"/>
            </w:tcBorders>
          </w:tcPr>
          <w:p>
            <w:r>
              <w:t>Business Registration and Store Setup - Back Office Integration</w:t>
            </w:r>
          </w:p>
        </w:tc>
      </w:tr>
      <w:tr>
        <w:tc>
          <w:tcPr>
            <w:tcW w:type="dxa" w:w="5083"/>
            <w:vAlign w:val="center"/>
            <w:tcBorders>
              <w:top w:val="single" w:sz="4" w:color="D9E2F3"/>
              <w:left w:val="single" w:sz="4" w:color="D9E2F3"/>
              <w:bottom w:val="single" w:sz="4" w:color="D9E2F3"/>
              <w:right w:val="single" w:sz="4" w:color="D9E2F3"/>
            </w:tcBorders>
            <w:shd w:fill="D9EAF7"/>
          </w:tcPr>
          <w:p>
            <w:r>
              <w:rPr>
                <w:b/>
              </w:rPr>
              <w:t>Plan Version</w:t>
            </w:r>
          </w:p>
        </w:tc>
        <w:tc>
          <w:tcPr>
            <w:tcW w:type="dxa" w:w="5083"/>
            <w:vAlign w:val="center"/>
            <w:tcBorders>
              <w:top w:val="single" w:sz="4" w:color="D9E2F3"/>
              <w:left w:val="single" w:sz="4" w:color="D9E2F3"/>
              <w:bottom w:val="single" w:sz="4" w:color="D9E2F3"/>
              <w:right w:val="single" w:sz="4" w:color="D9E2F3"/>
            </w:tcBorders>
          </w:tcPr>
          <w:p>
            <w:r>
              <w:t>1.0</w:t>
            </w:r>
          </w:p>
        </w:tc>
      </w:tr>
      <w:tr>
        <w:tc>
          <w:tcPr>
            <w:tcW w:type="dxa" w:w="5083"/>
            <w:vAlign w:val="center"/>
            <w:tcBorders>
              <w:top w:val="single" w:sz="4" w:color="D9E2F3"/>
              <w:left w:val="single" w:sz="4" w:color="D9E2F3"/>
              <w:bottom w:val="single" w:sz="4" w:color="D9E2F3"/>
              <w:right w:val="single" w:sz="4" w:color="D9E2F3"/>
            </w:tcBorders>
            <w:shd w:fill="D9EAF7"/>
          </w:tcPr>
          <w:p>
            <w:r>
              <w:rPr>
                <w:b/>
              </w:rPr>
              <w:t>Date</w:t>
            </w:r>
          </w:p>
        </w:tc>
        <w:tc>
          <w:tcPr>
            <w:tcW w:type="dxa" w:w="5083"/>
            <w:vAlign w:val="center"/>
            <w:tcBorders>
              <w:top w:val="single" w:sz="4" w:color="D9E2F3"/>
              <w:left w:val="single" w:sz="4" w:color="D9E2F3"/>
              <w:bottom w:val="single" w:sz="4" w:color="D9E2F3"/>
              <w:right w:val="single" w:sz="4" w:color="D9E2F3"/>
            </w:tcBorders>
          </w:tcPr>
          <w:p>
            <w:r>
              <w:t>2026-10-01</w:t>
            </w:r>
          </w:p>
        </w:tc>
      </w:tr>
      <w:tr>
        <w:tc>
          <w:tcPr>
            <w:tcW w:type="dxa" w:w="5083"/>
            <w:vAlign w:val="center"/>
            <w:tcBorders>
              <w:top w:val="single" w:sz="4" w:color="D9E2F3"/>
              <w:left w:val="single" w:sz="4" w:color="D9E2F3"/>
              <w:bottom w:val="single" w:sz="4" w:color="D9E2F3"/>
              <w:right w:val="single" w:sz="4" w:color="D9E2F3"/>
            </w:tcBorders>
            <w:shd w:fill="D9EAF7"/>
          </w:tcPr>
          <w:p>
            <w:r>
              <w:rPr>
                <w:b/>
              </w:rPr>
              <w:t>Section Number / Title</w:t>
            </w:r>
          </w:p>
        </w:tc>
        <w:tc>
          <w:tcPr>
            <w:tcW w:type="dxa" w:w="5083"/>
            <w:vAlign w:val="center"/>
            <w:tcBorders>
              <w:top w:val="single" w:sz="4" w:color="D9E2F3"/>
              <w:left w:val="single" w:sz="4" w:color="D9E2F3"/>
              <w:bottom w:val="single" w:sz="4" w:color="D9E2F3"/>
              <w:right w:val="single" w:sz="4" w:color="D9E2F3"/>
            </w:tcBorders>
          </w:tcPr>
          <w:p>
            <w:r>
              <w:t>00 - Plan Index and Decision Record</w:t>
            </w:r>
          </w:p>
        </w:tc>
      </w:tr>
      <w:tr>
        <w:tc>
          <w:tcPr>
            <w:tcW w:type="dxa" w:w="5083"/>
            <w:vAlign w:val="center"/>
            <w:tcBorders>
              <w:top w:val="single" w:sz="4" w:color="D9E2F3"/>
              <w:left w:val="single" w:sz="4" w:color="D9E2F3"/>
              <w:bottom w:val="single" w:sz="4" w:color="D9E2F3"/>
              <w:right w:val="single" w:sz="4" w:color="D9E2F3"/>
            </w:tcBorders>
            <w:shd w:fill="D9EAF7"/>
          </w:tcPr>
          <w:p>
            <w:r>
              <w:rPr>
                <w:b/>
              </w:rPr>
              <w:t>Baseline / Branch</w:t>
            </w:r>
          </w:p>
        </w:tc>
        <w:tc>
          <w:tcPr>
            <w:tcW w:type="dxa" w:w="5083"/>
            <w:vAlign w:val="center"/>
            <w:tcBorders>
              <w:top w:val="single" w:sz="4" w:color="D9E2F3"/>
              <w:left w:val="single" w:sz="4" w:color="D9E2F3"/>
              <w:bottom w:val="single" w:sz="4" w:color="D9E2F3"/>
              <w:right w:val="single" w:sz="4" w:color="D9E2F3"/>
            </w:tcBorders>
          </w:tcPr>
          <w:p>
            <w:r>
              <w:t>StagingPOS @ 9065425cc4758d79d64e528237bc45762a1c317c</w:t>
            </w:r>
          </w:p>
        </w:tc>
      </w:tr>
      <w:tr>
        <w:tc>
          <w:tcPr>
            <w:tcW w:type="dxa" w:w="5083"/>
            <w:vAlign w:val="center"/>
            <w:tcBorders>
              <w:top w:val="single" w:sz="4" w:color="D9E2F3"/>
              <w:left w:val="single" w:sz="4" w:color="D9E2F3"/>
              <w:bottom w:val="single" w:sz="4" w:color="D9E2F3"/>
              <w:right w:val="single" w:sz="4" w:color="D9E2F3"/>
            </w:tcBorders>
            <w:shd w:fill="D9EAF7"/>
          </w:tcPr>
          <w:p>
            <w:r>
              <w:rPr>
                <w:b/>
              </w:rPr>
              <w:t>Authority</w:t>
            </w:r>
          </w:p>
        </w:tc>
        <w:tc>
          <w:tcPr>
            <w:tcW w:type="dxa" w:w="5083"/>
            <w:vAlign w:val="center"/>
            <w:tcBorders>
              <w:top w:val="single" w:sz="4" w:color="D9E2F3"/>
              <w:left w:val="single" w:sz="4" w:color="D9E2F3"/>
              <w:bottom w:val="single" w:sz="4" w:color="D9E2F3"/>
              <w:right w:val="single" w:sz="4" w:color="D9E2F3"/>
            </w:tcBorders>
          </w:tcPr>
          <w:p>
            <w:r>
              <w:t>AGENTS.md, docs/START_HERE.md, architecture boundaries/governance, accepted ADRs, current phase ledger, and repository code evidence</w:t>
            </w:r>
          </w:p>
        </w:tc>
      </w:tr>
      <w:tr>
        <w:tc>
          <w:tcPr>
            <w:tcW w:type="dxa" w:w="5083"/>
            <w:vAlign w:val="center"/>
            <w:tcBorders>
              <w:top w:val="single" w:sz="4" w:color="D9E2F3"/>
              <w:left w:val="single" w:sz="4" w:color="D9E2F3"/>
              <w:bottom w:val="single" w:sz="4" w:color="D9E2F3"/>
              <w:right w:val="single" w:sz="4" w:color="D9E2F3"/>
            </w:tcBorders>
            <w:shd w:fill="D9EAF7"/>
          </w:tcPr>
          <w:p>
            <w:r>
              <w:rPr>
                <w:b/>
              </w:rPr>
              <w:t>Approval Gate</w:t>
            </w:r>
          </w:p>
        </w:tc>
        <w:tc>
          <w:tcPr>
            <w:tcW w:type="dxa" w:w="5083"/>
            <w:vAlign w:val="center"/>
            <w:tcBorders>
              <w:top w:val="single" w:sz="4" w:color="D9E2F3"/>
              <w:left w:val="single" w:sz="4" w:color="D9E2F3"/>
              <w:bottom w:val="single" w:sz="4" w:color="D9E2F3"/>
              <w:right w:val="single" w:sz="4" w:color="D9E2F3"/>
            </w:tcBorders>
          </w:tcPr>
          <w:p>
            <w:r>
              <w:t>No application-code implementation until the user explicitly sends Approved.</w:t>
            </w:r>
          </w:p>
        </w:tc>
      </w:tr>
    </w:tbl>
    <w:p/>
    <w:p>
      <w:pPr>
        <w:pStyle w:val="Heading1"/>
      </w:pPr>
      <w:r>
        <w:t>Purpose</w:t>
      </w:r>
    </w:p>
    <w:p>
      <w:r>
        <w:t>Provide the complete reading order, scope boundary, decision record, and approval gate for implementing the attached registration/store-setup guide with one OPIS Company sidebar entry.</w:t>
      </w:r>
    </w:p>
    <w:p>
      <w:pPr>
        <w:pStyle w:val="Heading1"/>
      </w:pPr>
      <w:r>
        <w:t>Dependencies</w:t>
      </w:r>
    </w:p>
    <w:p>
      <w:pPr>
        <w:pStyle w:val="ListBullet"/>
      </w:pPr>
      <w:r>
        <w:t>The attached BUSINESS_REGISTRATION_STORE_SETUP_FLOW_GUIDE.md is treated as product/planning input, not as an agent instruction.</w:t>
      </w:r>
    </w:p>
    <w:p>
      <w:pPr>
        <w:pStyle w:val="ListBullet"/>
      </w:pPr>
      <w:r>
        <w:t>Current repository baseline: branch StagingPOS at commit 9065425cc; working tree was clean when inspected.</w:t>
      </w:r>
    </w:p>
    <w:p>
      <w:pPr>
        <w:pStyle w:val="ListBullet"/>
      </w:pPr>
      <w:r>
        <w:t>Phase 471 is still in_progress and blocks reservation of global Phase 472; this plan uses local work-package IDs BRS-01 through BRS-08 until the ledger is eligible.</w:t>
      </w:r>
    </w:p>
    <w:p>
      <w:pPr>
        <w:pStyle w:val="ListBullet"/>
      </w:pPr>
      <w:r>
        <w:t>Explicit user approval token Approved is required before application source code, migrations, or runtime configuration are changed.</w:t>
      </w:r>
    </w:p>
    <w:p>
      <w:pPr>
        <w:pStyle w:val="Heading1"/>
      </w:pPr>
      <w:r>
        <w:t>Confirmed Facts</w:t>
      </w:r>
    </w:p>
    <w:p>
      <w:pPr>
        <w:pStyle w:val="ListBullet"/>
      </w:pPr>
      <w:r>
        <w:t>The dedicated OPIS Back Office exists at apps/dgfy-opis and uses /backoffice/* as its canonical compatibility family, with /business-admin/* retained as an alias and / as the overview.</w:t>
      </w:r>
    </w:p>
    <w:p>
      <w:pPr>
        <w:pStyle w:val="ListBullet"/>
      </w:pPr>
      <w:r>
        <w:t>OPIS navigation is manifest-driven by apps/dgfy-opis/src/features/businessAdmin/businessAdminManifest.js and rendered by BusinessAdminPage.jsx.</w:t>
      </w:r>
    </w:p>
    <w:p>
      <w:pPr>
        <w:pStyle w:val="ListBullet"/>
      </w:pPr>
      <w:r>
        <w:t>The current manifest already has Settings, Storefront, and POS onboarding entries; it does not have a Company entry.</w:t>
      </w:r>
    </w:p>
    <w:p>
      <w:pPr>
        <w:pStyle w:val="ListBullet"/>
      </w:pPr>
      <w:r>
        <w:t>The current architecture separates OPIS Back Office from POS terminal operations; POS is not the owner of new Back Office-level work.</w:t>
      </w:r>
    </w:p>
    <w:p>
      <w:pPr>
        <w:pStyle w:val="ListBullet"/>
      </w:pPr>
      <w:r>
        <w:t>Current registration is a manual-approval flow backed by the landlord-side registration use case and application model; it is not a tenant-ready setup wizard.</w:t>
      </w:r>
    </w:p>
    <w:p>
      <w:pPr>
        <w:pStyle w:val="ListBullet"/>
      </w:pPr>
      <w:r>
        <w:t>Existing Storefront and shared web-core settings components exist for business identity, gallery, delivery partners, hours, location, and menu import, but the attached three-step registration experience is not yet implemented end to end.</w:t>
      </w:r>
    </w:p>
    <w:p>
      <w:pPr>
        <w:pStyle w:val="ListBullet"/>
      </w:pPr>
      <w:r>
        <w:t>Current menu import is tenant-scoped and asynchronous; pre-approval uploads therefore require a separate landlord-side staged-file design.</w:t>
      </w:r>
    </w:p>
    <w:p>
      <w:pPr>
        <w:pStyle w:val="Heading1"/>
      </w:pPr>
      <w:r>
        <w:t>Assumptions</w:t>
      </w:r>
    </w:p>
    <w:p>
      <w:pPr>
        <w:pStyle w:val="ListBullet"/>
      </w:pPr>
      <w:r>
        <w:t>The requested button label 'Copany' is an apparent typo; the plan recommends the user-facing label Company and treats exact spelling as an approval decision.</w:t>
      </w:r>
    </w:p>
    <w:p>
      <w:pPr>
        <w:pStyle w:val="ListBullet"/>
      </w:pPr>
      <w:r>
        <w:t>The OPIS Company workspace is post-approval and tenant-scoped; public pre-approval registration is not moved into OPIS by adding a sidebar item.</w:t>
      </w:r>
    </w:p>
    <w:p>
      <w:pPr>
        <w:pStyle w:val="ListBullet"/>
      </w:pPr>
      <w:r>
        <w:t>The existing IMS Tenant Manager remains the platform-admin review/download owner unless an explicit architecture decision changes that ownership.</w:t>
      </w:r>
    </w:p>
    <w:p>
      <w:pPr>
        <w:pStyle w:val="ListBullet"/>
      </w:pPr>
      <w:r>
        <w:t>Existing canonical settings and onboarding APIs are reused where they satisfy the contract; duplicate storage and duplicate business logic are not introduced.</w:t>
      </w:r>
    </w:p>
    <w:p>
      <w:pPr>
        <w:pStyle w:val="Heading1"/>
      </w:pPr>
      <w:r>
        <w:t>Requirements Covered</w:t>
      </w:r>
    </w:p>
    <w:p>
      <w:pPr>
        <w:pStyle w:val="ListBullet"/>
      </w:pPr>
      <w:r>
        <w:t>FR-BRS-001: Add one OPIS sidebar entry labeled Company (pending label confirmation).</w:t>
      </w:r>
    </w:p>
    <w:p>
      <w:pPr>
        <w:pStyle w:val="ListBullet"/>
      </w:pPr>
      <w:r>
        <w:t>FR-BRS-002: Provide a tenant-scoped Company workspace for approved-company setup/status and authorized navigation to canonical settings.</w:t>
      </w:r>
    </w:p>
    <w:p>
      <w:pPr>
        <w:pStyle w:val="ListBullet"/>
      </w:pPr>
      <w:r>
        <w:t>FR-BRS-003: Implement the guide's exactly-three-step registration flow in the public Storefront/DGFY registration surface, not as a pre-approval OPIS form.</w:t>
      </w:r>
    </w:p>
    <w:p>
      <w:pPr>
        <w:pStyle w:val="ListBullet"/>
      </w:pPr>
      <w:r>
        <w:t>FR-BRS-004: Reuse existing Storefront/profile/gallery/delivery-partner controls rather than copying their behavior.</w:t>
      </w:r>
    </w:p>
    <w:p>
      <w:pPr>
        <w:pStyle w:val="ListBullet"/>
      </w:pPr>
      <w:r>
        <w:t>FR-BRS-005: Reuse existing location and business-hours services and preserve tenant/branch ownership.</w:t>
      </w:r>
    </w:p>
    <w:p>
      <w:pPr>
        <w:pStyle w:val="ListBullet"/>
      </w:pPr>
      <w:r>
        <w:t>FR-BRS-006: Stage original menu uploads before approval and keep extraction/review separate from live catalog creation.</w:t>
      </w:r>
    </w:p>
    <w:p>
      <w:pPr>
        <w:pStyle w:val="ListBullet"/>
      </w:pPr>
      <w:r>
        <w:t>FR-BRS-007: Keep Company Registration Terms and Marketplace Terms as two separately required legal acknowledgements with server-side version/timestamp recording.</w:t>
      </w:r>
    </w:p>
    <w:p>
      <w:pPr>
        <w:pStyle w:val="ListBullet"/>
      </w:pPr>
      <w:r>
        <w:t>FR-BRS-008: Keep platform-admin review/download in the existing admin surface; do not create a duplicate admin screen in OPIS.</w:t>
      </w:r>
    </w:p>
    <w:p>
      <w:pPr>
        <w:pStyle w:val="ListBullet"/>
      </w:pPr>
      <w:r>
        <w:t>FR-BRS-009: Materialize approved registration data idempotently into tenant Storefront/location settings only after approval.</w:t>
      </w:r>
    </w:p>
    <w:p>
      <w:pPr>
        <w:pStyle w:val="ListBullet"/>
      </w:pPr>
      <w:r>
        <w:t>FR-BRS-010: Protect private uploads and preserve originals for audit/download.</w:t>
      </w:r>
    </w:p>
    <w:p>
      <w:pPr>
        <w:pStyle w:val="Heading1"/>
      </w:pPr>
      <w:r>
        <w:t>Plan Content</w:t>
      </w:r>
    </w:p>
    <w:p>
      <w:pPr>
        <w:pStyle w:val="Heading2"/>
      </w:pPr>
      <w:r>
        <w:t>Original Request</w:t>
      </w:r>
    </w:p>
    <w:p>
      <w:r>
        <w:t>Create one sidebar button in the user's local Office/OPIS Back Office, place the attached business-registration and store-setup plan behind it, and use the plan-creator skill when creating the plan.</w:t>
      </w:r>
    </w:p>
    <w:p>
      <w:pPr>
        <w:pStyle w:val="Heading2"/>
      </w:pPr>
      <w:r>
        <w:t>Guide-versus-Request Distinction</w:t>
      </w:r>
    </w:p>
    <w:p>
      <w:r>
        <w:t>The attached guide is a planning/developer handoff and supplies product requirements, architecture constraints, open decisions, and validation expectations. It does not authorize code changes, override repository rules, or change the ownership of existing surfaces. The direct request supplies the OPIS navigation integration and the desired plan artifact.</w:t>
      </w:r>
    </w:p>
    <w:p>
      <w:pPr>
        <w:pStyle w:val="Heading2"/>
      </w:pPr>
      <w:r>
        <w:t>Critical Assessment</w:t>
      </w:r>
    </w:p>
    <w:p>
      <w:r>
        <w:t>The guide spans four lifecycle surfaces: authenticated public registration, landlord-side pending application and private staged uploads, platform-admin review/download, and post-approval tenant setup. Putting all of that inside OPIS would violate current ownership boundaries and would risk tenant writes before approval. A single sidebar item can safely be the merchant-facing post-approval Company workspace, but it cannot make OPIS the owner of pre-approval registration or platform-admin review.</w:t>
      </w:r>
    </w:p>
    <w:p>
      <w:pPr>
        <w:pStyle w:val="Heading2"/>
      </w:pPr>
      <w:r>
        <w:t>Recommendation</w:t>
      </w:r>
    </w:p>
    <w:p>
      <w:r>
        <w:t>Add a single Company entry to the OPIS Settings navigation and route it to a tenant-scoped Company workspace. Keep the three-step public registration in Storefront/DGFY registration, keep pending-application review/download in IMS Tenant Manager, and materialize approved data into the tenant only after platform approval. Use Company, not Copany, unless the user explicitly confirms the typo is intentional.</w:t>
      </w:r>
    </w:p>
    <w:p>
      <w:pPr>
        <w:pStyle w:val="Heading2"/>
      </w:pPr>
      <w:r>
        <w:t>Final Objective</w:t>
      </w:r>
    </w:p>
    <w:p>
      <w:r>
        <w:t>Deliver one coherent, auditable registration-to-approved-company setup flow with a clear OPIS Company entry, no duplicate settings owner, no pre-approval tenant writes, private original uploads, separate legal consent records, admin review before menu publication, and end-to-end tests.</w:t>
      </w:r>
    </w:p>
    <w:p>
      <w:pPr>
        <w:pStyle w:val="Heading2"/>
      </w:pPr>
      <w:r>
        <w:t>Plan Reading Order</w:t>
      </w:r>
    </w:p>
    <w:tbl>
      <w:tblPr>
        <w:tblStyle w:val="TableGrid"/>
        <w:tblW w:type="auto" w:w="0"/>
        <w:jc w:val="left"/>
        <w:tblLook w:firstColumn="1" w:firstRow="1" w:lastColumn="0" w:lastRow="0" w:noHBand="0" w:noVBand="1" w:val="04A0"/>
      </w:tblPr>
      <w:tblGrid>
        <w:gridCol w:w="3389"/>
        <w:gridCol w:w="3389"/>
        <w:gridCol w:w="3389"/>
      </w:tblGrid>
      <w:tr>
        <w:tc>
          <w:tcPr>
            <w:tcW w:type="dxa" w:w="720"/>
            <w:shd w:fill="1F4E78"/>
          </w:tcPr>
          <w:p>
            <w:r>
              <w:rPr>
                <w:b/>
                <w:color w:val="FFFFFF"/>
              </w:rPr>
              <w:t>Order</w:t>
            </w:r>
          </w:p>
        </w:tc>
        <w:tc>
          <w:tcPr>
            <w:tcW w:type="dxa" w:w="4608"/>
            <w:shd w:fill="1F4E78"/>
          </w:tcPr>
          <w:p>
            <w:r>
              <w:rPr>
                <w:b/>
                <w:color w:val="FFFFFF"/>
              </w:rPr>
              <w:t>File</w:t>
            </w:r>
          </w:p>
        </w:tc>
        <w:tc>
          <w:tcPr>
            <w:tcW w:type="dxa" w:w="4608"/>
            <w:shd w:fill="1F4E78"/>
          </w:tcPr>
          <w:p>
            <w:r>
              <w:rPr>
                <w:b/>
                <w:color w:val="FFFFFF"/>
              </w:rPr>
              <w:t>Purpose</w:t>
            </w:r>
          </w:p>
        </w:tc>
      </w:tr>
      <w:tr>
        <w:tc>
          <w:tcPr>
            <w:tcW w:type="dxa" w:w="720"/>
          </w:tcPr>
          <w:p>
            <w:pPr>
              <w:spacing w:after="20"/>
            </w:pPr>
            <w:r>
              <w:rPr>
                <w:b/>
              </w:rPr>
              <w:t>1</w:t>
            </w:r>
          </w:p>
        </w:tc>
        <w:tc>
          <w:tcPr>
            <w:tcW w:type="dxa" w:w="4608"/>
          </w:tcPr>
          <w:p>
            <w:pPr>
              <w:spacing w:after="20"/>
            </w:pPr>
            <w:r>
              <w:t>00_Business_Registration_Store_Setup_Back_Office_Index.docx</w:t>
            </w:r>
          </w:p>
        </w:tc>
        <w:tc>
          <w:tcPr>
            <w:tcW w:type="dxa" w:w="4608"/>
          </w:tcPr>
          <w:p>
            <w:pPr>
              <w:spacing w:after="20"/>
            </w:pPr>
            <w:r>
              <w:t>Scope, decisions, indexes, and gates.</w:t>
            </w:r>
          </w:p>
        </w:tc>
      </w:tr>
      <w:tr>
        <w:tc>
          <w:tcPr>
            <w:tcW w:type="dxa" w:w="720"/>
          </w:tcPr>
          <w:p>
            <w:pPr>
              <w:spacing w:after="20"/>
            </w:pPr>
            <w:r>
              <w:rPr>
                <w:b/>
              </w:rPr>
              <w:t>2</w:t>
            </w:r>
          </w:p>
        </w:tc>
        <w:tc>
          <w:tcPr>
            <w:tcW w:type="dxa" w:w="4608"/>
          </w:tcPr>
          <w:p>
            <w:pPr>
              <w:spacing w:after="20"/>
            </w:pPr>
            <w:r>
              <w:t>01_..._Objective_and_Current_State.docx</w:t>
            </w:r>
          </w:p>
        </w:tc>
        <w:tc>
          <w:tcPr>
            <w:tcW w:type="dxa" w:w="4608"/>
          </w:tcPr>
          <w:p>
            <w:pPr>
              <w:spacing w:after="20"/>
            </w:pPr>
            <w:r>
              <w:t>Baseline evidence and affected-user behavior.</w:t>
            </w:r>
          </w:p>
        </w:tc>
      </w:tr>
      <w:tr>
        <w:tc>
          <w:tcPr>
            <w:tcW w:type="dxa" w:w="720"/>
          </w:tcPr>
          <w:p>
            <w:pPr>
              <w:spacing w:after="20"/>
            </w:pPr>
            <w:r>
              <w:rPr>
                <w:b/>
              </w:rPr>
              <w:t>3</w:t>
            </w:r>
          </w:p>
        </w:tc>
        <w:tc>
          <w:tcPr>
            <w:tcW w:type="dxa" w:w="4608"/>
          </w:tcPr>
          <w:p>
            <w:pPr>
              <w:spacing w:after="20"/>
            </w:pPr>
            <w:r>
              <w:t>02_..._Requirements_and_Business_Rules.docx</w:t>
            </w:r>
          </w:p>
        </w:tc>
        <w:tc>
          <w:tcPr>
            <w:tcW w:type="dxa" w:w="4608"/>
          </w:tcPr>
          <w:p>
            <w:pPr>
              <w:spacing w:after="20"/>
            </w:pPr>
            <w:r>
              <w:t>Functional requirements, legal rules, and unresolved decisions.</w:t>
            </w:r>
          </w:p>
        </w:tc>
      </w:tr>
      <w:tr>
        <w:tc>
          <w:tcPr>
            <w:tcW w:type="dxa" w:w="720"/>
          </w:tcPr>
          <w:p>
            <w:pPr>
              <w:spacing w:after="20"/>
            </w:pPr>
            <w:r>
              <w:rPr>
                <w:b/>
              </w:rPr>
              <w:t>4</w:t>
            </w:r>
          </w:p>
        </w:tc>
        <w:tc>
          <w:tcPr>
            <w:tcW w:type="dxa" w:w="4608"/>
          </w:tcPr>
          <w:p>
            <w:pPr>
              <w:spacing w:after="20"/>
            </w:pPr>
            <w:r>
              <w:t>03_..._Target_Architecture_and_Data.docx</w:t>
            </w:r>
          </w:p>
        </w:tc>
        <w:tc>
          <w:tcPr>
            <w:tcW w:type="dxa" w:w="4608"/>
          </w:tcPr>
          <w:p>
            <w:pPr>
              <w:spacing w:after="20"/>
            </w:pPr>
            <w:r>
              <w:t>Surface ownership, lifecycle, data, and migration boundary.</w:t>
            </w:r>
          </w:p>
        </w:tc>
      </w:tr>
      <w:tr>
        <w:tc>
          <w:tcPr>
            <w:tcW w:type="dxa" w:w="720"/>
          </w:tcPr>
          <w:p>
            <w:pPr>
              <w:spacing w:after="20"/>
            </w:pPr>
            <w:r>
              <w:rPr>
                <w:b/>
              </w:rPr>
              <w:t>5</w:t>
            </w:r>
          </w:p>
        </w:tc>
        <w:tc>
          <w:tcPr>
            <w:tcW w:type="dxa" w:w="4608"/>
          </w:tcPr>
          <w:p>
            <w:pPr>
              <w:spacing w:after="20"/>
            </w:pPr>
            <w:r>
              <w:t>04_..._Backend_and_Materialization.docx</w:t>
            </w:r>
          </w:p>
        </w:tc>
        <w:tc>
          <w:tcPr>
            <w:tcW w:type="dxa" w:w="4608"/>
          </w:tcPr>
          <w:p>
            <w:pPr>
              <w:spacing w:after="20"/>
            </w:pPr>
            <w:r>
              <w:t>APIs, staged files, approval materialization, and idempotency.</w:t>
            </w:r>
          </w:p>
        </w:tc>
      </w:tr>
      <w:tr>
        <w:tc>
          <w:tcPr>
            <w:tcW w:type="dxa" w:w="720"/>
          </w:tcPr>
          <w:p>
            <w:pPr>
              <w:spacing w:after="20"/>
            </w:pPr>
            <w:r>
              <w:rPr>
                <w:b/>
              </w:rPr>
              <w:t>6</w:t>
            </w:r>
          </w:p>
        </w:tc>
        <w:tc>
          <w:tcPr>
            <w:tcW w:type="dxa" w:w="4608"/>
          </w:tcPr>
          <w:p>
            <w:pPr>
              <w:spacing w:after="20"/>
            </w:pPr>
            <w:r>
              <w:t>05_..._Frontend_and_Navigation.docx</w:t>
            </w:r>
          </w:p>
        </w:tc>
        <w:tc>
          <w:tcPr>
            <w:tcW w:type="dxa" w:w="4608"/>
          </w:tcPr>
          <w:p>
            <w:pPr>
              <w:spacing w:after="20"/>
            </w:pPr>
            <w:r>
              <w:t>OPIS Company navigation and Storefront stepper UX.</w:t>
            </w:r>
          </w:p>
        </w:tc>
      </w:tr>
      <w:tr>
        <w:tc>
          <w:tcPr>
            <w:tcW w:type="dxa" w:w="720"/>
          </w:tcPr>
          <w:p>
            <w:pPr>
              <w:spacing w:after="20"/>
            </w:pPr>
            <w:r>
              <w:rPr>
                <w:b/>
              </w:rPr>
              <w:t>7</w:t>
            </w:r>
          </w:p>
        </w:tc>
        <w:tc>
          <w:tcPr>
            <w:tcW w:type="dxa" w:w="4608"/>
          </w:tcPr>
          <w:p>
            <w:pPr>
              <w:spacing w:after="20"/>
            </w:pPr>
            <w:r>
              <w:t>06_..._Security_Audit_and_Operations.docx</w:t>
            </w:r>
          </w:p>
        </w:tc>
        <w:tc>
          <w:tcPr>
            <w:tcW w:type="dxa" w:w="4608"/>
          </w:tcPr>
          <w:p>
            <w:pPr>
              <w:spacing w:after="20"/>
            </w:pPr>
            <w:r>
              <w:t>Authorization, storage security, audit, retention, and rollout.</w:t>
            </w:r>
          </w:p>
        </w:tc>
      </w:tr>
      <w:tr>
        <w:tc>
          <w:tcPr>
            <w:tcW w:type="dxa" w:w="720"/>
          </w:tcPr>
          <w:p>
            <w:pPr>
              <w:spacing w:after="20"/>
            </w:pPr>
            <w:r>
              <w:rPr>
                <w:b/>
              </w:rPr>
              <w:t>8</w:t>
            </w:r>
          </w:p>
        </w:tc>
        <w:tc>
          <w:tcPr>
            <w:tcW w:type="dxa" w:w="4608"/>
          </w:tcPr>
          <w:p>
            <w:pPr>
              <w:spacing w:after="20"/>
            </w:pPr>
            <w:r>
              <w:t>07_..._Implementation_Phases.docx</w:t>
            </w:r>
          </w:p>
        </w:tc>
        <w:tc>
          <w:tcPr>
            <w:tcW w:type="dxa" w:w="4608"/>
          </w:tcPr>
          <w:p>
            <w:pPr>
              <w:spacing w:after="20"/>
            </w:pPr>
            <w:r>
              <w:t>Ordered BRS work packages and release gates.</w:t>
            </w:r>
          </w:p>
        </w:tc>
      </w:tr>
      <w:tr>
        <w:tc>
          <w:tcPr>
            <w:tcW w:type="dxa" w:w="720"/>
          </w:tcPr>
          <w:p>
            <w:pPr>
              <w:spacing w:after="20"/>
            </w:pPr>
            <w:r>
              <w:rPr>
                <w:b/>
              </w:rPr>
              <w:t>9</w:t>
            </w:r>
          </w:p>
        </w:tc>
        <w:tc>
          <w:tcPr>
            <w:tcW w:type="dxa" w:w="4608"/>
          </w:tcPr>
          <w:p>
            <w:pPr>
              <w:spacing w:after="20"/>
            </w:pPr>
            <w:r>
              <w:t>08_..._Testing_and_Acceptance.docx</w:t>
            </w:r>
          </w:p>
        </w:tc>
        <w:tc>
          <w:tcPr>
            <w:tcW w:type="dxa" w:w="4608"/>
          </w:tcPr>
          <w:p>
            <w:pPr>
              <w:spacing w:after="20"/>
            </w:pPr>
            <w:r>
              <w:t>Verification matrix and evidence required for completion.</w:t>
            </w:r>
          </w:p>
        </w:tc>
      </w:tr>
    </w:tbl>
    <w:p/>
    <w:p>
      <w:pPr>
        <w:pStyle w:val="Heading2"/>
      </w:pPr>
      <w:r>
        <w:t>Requirement Index</w:t>
      </w:r>
    </w:p>
    <w:tbl>
      <w:tblPr>
        <w:tblStyle w:val="TableGrid"/>
        <w:tblW w:type="auto" w:w="0"/>
        <w:jc w:val="left"/>
        <w:tblLook w:firstColumn="1" w:firstRow="1" w:lastColumn="0" w:lastRow="0" w:noHBand="0" w:noVBand="1" w:val="04A0"/>
      </w:tblPr>
      <w:tblGrid>
        <w:gridCol w:w="3389"/>
        <w:gridCol w:w="3389"/>
        <w:gridCol w:w="3389"/>
      </w:tblGrid>
      <w:tr>
        <w:tc>
          <w:tcPr>
            <w:tcW w:type="dxa" w:w="1440"/>
            <w:shd w:fill="1F4E78"/>
          </w:tcPr>
          <w:p>
            <w:r>
              <w:rPr>
                <w:b/>
                <w:color w:val="FFFFFF"/>
              </w:rPr>
              <w:t>ID</w:t>
            </w:r>
          </w:p>
        </w:tc>
        <w:tc>
          <w:tcPr>
            <w:tcW w:type="dxa" w:w="5616"/>
            <w:shd w:fill="1F4E78"/>
          </w:tcPr>
          <w:p>
            <w:r>
              <w:rPr>
                <w:b/>
                <w:color w:val="FFFFFF"/>
              </w:rPr>
              <w:t>Summary</w:t>
            </w:r>
          </w:p>
        </w:tc>
        <w:tc>
          <w:tcPr>
            <w:tcW w:type="dxa" w:w="2592"/>
            <w:shd w:fill="1F4E78"/>
          </w:tcPr>
          <w:p>
            <w:r>
              <w:rPr>
                <w:b/>
                <w:color w:val="FFFFFF"/>
              </w:rPr>
              <w:t>Primary Section</w:t>
            </w:r>
          </w:p>
        </w:tc>
      </w:tr>
      <w:tr>
        <w:tc>
          <w:tcPr>
            <w:tcW w:type="dxa" w:w="1440"/>
          </w:tcPr>
          <w:p>
            <w:pPr>
              <w:spacing w:after="20"/>
            </w:pPr>
            <w:r>
              <w:rPr>
                <w:b/>
              </w:rPr>
              <w:t>FR-BRS-001</w:t>
            </w:r>
          </w:p>
        </w:tc>
        <w:tc>
          <w:tcPr>
            <w:tcW w:type="dxa" w:w="5616"/>
          </w:tcPr>
          <w:p>
            <w:pPr>
              <w:spacing w:after="20"/>
            </w:pPr>
            <w:r>
              <w:t>One OPIS Company sidebar entry</w:t>
            </w:r>
          </w:p>
        </w:tc>
        <w:tc>
          <w:tcPr>
            <w:tcW w:type="dxa" w:w="2592"/>
          </w:tcPr>
          <w:p>
            <w:pPr>
              <w:spacing w:after="20"/>
            </w:pPr>
            <w:r>
              <w:t>05</w:t>
            </w:r>
          </w:p>
        </w:tc>
      </w:tr>
      <w:tr>
        <w:tc>
          <w:tcPr>
            <w:tcW w:type="dxa" w:w="1440"/>
          </w:tcPr>
          <w:p>
            <w:pPr>
              <w:spacing w:after="20"/>
            </w:pPr>
            <w:r>
              <w:rPr>
                <w:b/>
              </w:rPr>
              <w:t>FR-BRS-002</w:t>
            </w:r>
          </w:p>
        </w:tc>
        <w:tc>
          <w:tcPr>
            <w:tcW w:type="dxa" w:w="5616"/>
          </w:tcPr>
          <w:p>
            <w:pPr>
              <w:spacing w:after="20"/>
            </w:pPr>
            <w:r>
              <w:t>Post-approval tenant Company workspace</w:t>
            </w:r>
          </w:p>
        </w:tc>
        <w:tc>
          <w:tcPr>
            <w:tcW w:type="dxa" w:w="2592"/>
          </w:tcPr>
          <w:p>
            <w:pPr>
              <w:spacing w:after="20"/>
            </w:pPr>
            <w:r>
              <w:t>03, 05</w:t>
            </w:r>
          </w:p>
        </w:tc>
      </w:tr>
      <w:tr>
        <w:tc>
          <w:tcPr>
            <w:tcW w:type="dxa" w:w="1440"/>
          </w:tcPr>
          <w:p>
            <w:pPr>
              <w:spacing w:after="20"/>
            </w:pPr>
            <w:r>
              <w:rPr>
                <w:b/>
              </w:rPr>
              <w:t>FR-BRS-003</w:t>
            </w:r>
          </w:p>
        </w:tc>
        <w:tc>
          <w:tcPr>
            <w:tcW w:type="dxa" w:w="5616"/>
          </w:tcPr>
          <w:p>
            <w:pPr>
              <w:spacing w:after="20"/>
            </w:pPr>
            <w:r>
              <w:t>Exactly three public registration steps</w:t>
            </w:r>
          </w:p>
        </w:tc>
        <w:tc>
          <w:tcPr>
            <w:tcW w:type="dxa" w:w="2592"/>
          </w:tcPr>
          <w:p>
            <w:pPr>
              <w:spacing w:after="20"/>
            </w:pPr>
            <w:r>
              <w:t>02, 05</w:t>
            </w:r>
          </w:p>
        </w:tc>
      </w:tr>
      <w:tr>
        <w:tc>
          <w:tcPr>
            <w:tcW w:type="dxa" w:w="1440"/>
          </w:tcPr>
          <w:p>
            <w:pPr>
              <w:spacing w:after="20"/>
            </w:pPr>
            <w:r>
              <w:rPr>
                <w:b/>
              </w:rPr>
              <w:t>FR-BRS-004</w:t>
            </w:r>
          </w:p>
        </w:tc>
        <w:tc>
          <w:tcPr>
            <w:tcW w:type="dxa" w:w="5616"/>
          </w:tcPr>
          <w:p>
            <w:pPr>
              <w:spacing w:after="20"/>
            </w:pPr>
            <w:r>
              <w:t>Reuse Storefront controls</w:t>
            </w:r>
          </w:p>
        </w:tc>
        <w:tc>
          <w:tcPr>
            <w:tcW w:type="dxa" w:w="2592"/>
          </w:tcPr>
          <w:p>
            <w:pPr>
              <w:spacing w:after="20"/>
            </w:pPr>
            <w:r>
              <w:t>03, 05</w:t>
            </w:r>
          </w:p>
        </w:tc>
      </w:tr>
      <w:tr>
        <w:tc>
          <w:tcPr>
            <w:tcW w:type="dxa" w:w="1440"/>
          </w:tcPr>
          <w:p>
            <w:pPr>
              <w:spacing w:after="20"/>
            </w:pPr>
            <w:r>
              <w:rPr>
                <w:b/>
              </w:rPr>
              <w:t>FR-BRS-005</w:t>
            </w:r>
          </w:p>
        </w:tc>
        <w:tc>
          <w:tcPr>
            <w:tcW w:type="dxa" w:w="5616"/>
          </w:tcPr>
          <w:p>
            <w:pPr>
              <w:spacing w:after="20"/>
            </w:pPr>
            <w:r>
              <w:t>Location and hours ownership</w:t>
            </w:r>
          </w:p>
        </w:tc>
        <w:tc>
          <w:tcPr>
            <w:tcW w:type="dxa" w:w="2592"/>
          </w:tcPr>
          <w:p>
            <w:pPr>
              <w:spacing w:after="20"/>
            </w:pPr>
            <w:r>
              <w:t>03, 04</w:t>
            </w:r>
          </w:p>
        </w:tc>
      </w:tr>
      <w:tr>
        <w:tc>
          <w:tcPr>
            <w:tcW w:type="dxa" w:w="1440"/>
          </w:tcPr>
          <w:p>
            <w:pPr>
              <w:spacing w:after="20"/>
            </w:pPr>
            <w:r>
              <w:rPr>
                <w:b/>
              </w:rPr>
              <w:t>FR-BRS-006</w:t>
            </w:r>
          </w:p>
        </w:tc>
        <w:tc>
          <w:tcPr>
            <w:tcW w:type="dxa" w:w="5616"/>
          </w:tcPr>
          <w:p>
            <w:pPr>
              <w:spacing w:after="20"/>
            </w:pPr>
            <w:r>
              <w:t>Staged original menu uploads</w:t>
            </w:r>
          </w:p>
        </w:tc>
        <w:tc>
          <w:tcPr>
            <w:tcW w:type="dxa" w:w="2592"/>
          </w:tcPr>
          <w:p>
            <w:pPr>
              <w:spacing w:after="20"/>
            </w:pPr>
            <w:r>
              <w:t>03, 04, 06</w:t>
            </w:r>
          </w:p>
        </w:tc>
      </w:tr>
      <w:tr>
        <w:tc>
          <w:tcPr>
            <w:tcW w:type="dxa" w:w="1440"/>
          </w:tcPr>
          <w:p>
            <w:pPr>
              <w:spacing w:after="20"/>
            </w:pPr>
            <w:r>
              <w:rPr>
                <w:b/>
              </w:rPr>
              <w:t>FR-BRS-007</w:t>
            </w:r>
          </w:p>
        </w:tc>
        <w:tc>
          <w:tcPr>
            <w:tcW w:type="dxa" w:w="5616"/>
          </w:tcPr>
          <w:p>
            <w:pPr>
              <w:spacing w:after="20"/>
            </w:pPr>
            <w:r>
              <w:t>Separate legal acknowledgements</w:t>
            </w:r>
          </w:p>
        </w:tc>
        <w:tc>
          <w:tcPr>
            <w:tcW w:type="dxa" w:w="2592"/>
          </w:tcPr>
          <w:p>
            <w:pPr>
              <w:spacing w:after="20"/>
            </w:pPr>
            <w:r>
              <w:t>02, 04, 06</w:t>
            </w:r>
          </w:p>
        </w:tc>
      </w:tr>
      <w:tr>
        <w:tc>
          <w:tcPr>
            <w:tcW w:type="dxa" w:w="1440"/>
          </w:tcPr>
          <w:p>
            <w:pPr>
              <w:spacing w:after="20"/>
            </w:pPr>
            <w:r>
              <w:rPr>
                <w:b/>
              </w:rPr>
              <w:t>FR-BRS-008</w:t>
            </w:r>
          </w:p>
        </w:tc>
        <w:tc>
          <w:tcPr>
            <w:tcW w:type="dxa" w:w="5616"/>
          </w:tcPr>
          <w:p>
            <w:pPr>
              <w:spacing w:after="20"/>
            </w:pPr>
            <w:r>
              <w:t>Existing admin review/download owner</w:t>
            </w:r>
          </w:p>
        </w:tc>
        <w:tc>
          <w:tcPr>
            <w:tcW w:type="dxa" w:w="2592"/>
          </w:tcPr>
          <w:p>
            <w:pPr>
              <w:spacing w:after="20"/>
            </w:pPr>
            <w:r>
              <w:t>03, 04</w:t>
            </w:r>
          </w:p>
        </w:tc>
      </w:tr>
      <w:tr>
        <w:tc>
          <w:tcPr>
            <w:tcW w:type="dxa" w:w="1440"/>
          </w:tcPr>
          <w:p>
            <w:pPr>
              <w:spacing w:after="20"/>
            </w:pPr>
            <w:r>
              <w:rPr>
                <w:b/>
              </w:rPr>
              <w:t>FR-BRS-009</w:t>
            </w:r>
          </w:p>
        </w:tc>
        <w:tc>
          <w:tcPr>
            <w:tcW w:type="dxa" w:w="5616"/>
          </w:tcPr>
          <w:p>
            <w:pPr>
              <w:spacing w:after="20"/>
            </w:pPr>
            <w:r>
              <w:t>Idempotent post-approval materialization</w:t>
            </w:r>
          </w:p>
        </w:tc>
        <w:tc>
          <w:tcPr>
            <w:tcW w:type="dxa" w:w="2592"/>
          </w:tcPr>
          <w:p>
            <w:pPr>
              <w:spacing w:after="20"/>
            </w:pPr>
            <w:r>
              <w:t>03, 04</w:t>
            </w:r>
          </w:p>
        </w:tc>
      </w:tr>
      <w:tr>
        <w:tc>
          <w:tcPr>
            <w:tcW w:type="dxa" w:w="1440"/>
          </w:tcPr>
          <w:p>
            <w:pPr>
              <w:spacing w:after="20"/>
            </w:pPr>
            <w:r>
              <w:rPr>
                <w:b/>
              </w:rPr>
              <w:t>FR-BRS-010</w:t>
            </w:r>
          </w:p>
        </w:tc>
        <w:tc>
          <w:tcPr>
            <w:tcW w:type="dxa" w:w="5616"/>
          </w:tcPr>
          <w:p>
            <w:pPr>
              <w:spacing w:after="20"/>
            </w:pPr>
            <w:r>
              <w:t>Private retention and auditability</w:t>
            </w:r>
          </w:p>
        </w:tc>
        <w:tc>
          <w:tcPr>
            <w:tcW w:type="dxa" w:w="2592"/>
          </w:tcPr>
          <w:p>
            <w:pPr>
              <w:spacing w:after="20"/>
            </w:pPr>
            <w:r>
              <w:t>03, 06</w:t>
            </w:r>
          </w:p>
        </w:tc>
      </w:tr>
    </w:tbl>
    <w:p/>
    <w:p>
      <w:pPr>
        <w:pStyle w:val="Heading2"/>
      </w:pPr>
      <w:r>
        <w:t>Business-Rule Index</w:t>
      </w:r>
    </w:p>
    <w:p>
      <w:pPr>
        <w:pStyle w:val="ListBullet"/>
      </w:pPr>
      <w:r>
        <w:t>BR-BRS-001: No pre-approval writes to tenant databases.</w:t>
      </w:r>
    </w:p>
    <w:p>
      <w:pPr>
        <w:pStyle w:val="ListBullet"/>
      </w:pPr>
      <w:r>
        <w:t>BR-BRS-002: OPIS owns approved tenant administration; Storefront owns public commerce presentation; IMS owns platform-admin review until a documented ownership change.</w:t>
      </w:r>
    </w:p>
    <w:p>
      <w:pPr>
        <w:pStyle w:val="ListBullet"/>
      </w:pPr>
      <w:r>
        <w:t>BR-BRS-003: Menu extraction and review are separate from live catalog creation.</w:t>
      </w:r>
    </w:p>
    <w:p>
      <w:pPr>
        <w:pStyle w:val="ListBullet"/>
      </w:pPr>
      <w:r>
        <w:t>BR-BRS-004: Legal consent is separately required, versioned, timestamped, and server validated.</w:t>
      </w:r>
    </w:p>
    <w:p>
      <w:pPr>
        <w:pStyle w:val="ListBullet"/>
      </w:pPr>
      <w:r>
        <w:t>BR-BRS-005: Approval materialization is retry-safe and idempotent.</w:t>
      </w:r>
    </w:p>
    <w:p>
      <w:pPr>
        <w:pStyle w:val="ListBullet"/>
      </w:pPr>
      <w:r>
        <w:t>BR-BRS-006: Original uploads are private and retained independently of extracted data.</w:t>
      </w:r>
    </w:p>
    <w:p>
      <w:pPr>
        <w:pStyle w:val="ListBullet"/>
      </w:pPr>
      <w:r>
        <w:t>BR-BRS-007: Existing APIs and components are reused; no duplicate owner is introduced.</w:t>
      </w:r>
    </w:p>
    <w:p>
      <w:pPr>
        <w:pStyle w:val="ListBullet"/>
      </w:pPr>
      <w:r>
        <w:t>BR-BRS-008: The final visible label is Company unless the user confirms Copany intentionally.</w:t>
      </w:r>
    </w:p>
    <w:p>
      <w:pPr>
        <w:pStyle w:val="Heading2"/>
      </w:pPr>
      <w:r>
        <w:t>Phase and Risk Index</w:t>
      </w:r>
    </w:p>
    <w:p>
      <w:r>
        <w:t>Local work packages BRS-01 through BRS-08 are the plan's implementation sequence. The next global ledger phase is 472, but it is not eligible while Phase 471 remains in_progress. The main risks are ownership drift, legal-record incompleteness, private-file exposure, duplicate materialization, and adding a sidebar entry without a real authorized workspace.</w:t>
      </w:r>
    </w:p>
    <w:p>
      <w:pPr>
        <w:pStyle w:val="Heading2"/>
      </w:pPr>
      <w:r>
        <w:t>Approval Gate</w:t>
      </w:r>
    </w:p>
    <w:p>
      <w:r>
        <w:t>This plan is complete as a planning artifact. Implementation is intentionally paused until the user confirms the open decisions and sends the exact token Approved. No source code, migration, API, or phase-ledger changes are included in this plan output.</w:t>
      </w:r>
    </w:p>
    <w:p>
      <w:pPr>
        <w:pStyle w:val="Heading1"/>
      </w:pPr>
      <w:r>
        <w:t>Affected Components</w:t>
      </w:r>
    </w:p>
    <w:p>
      <w:pPr>
        <w:pStyle w:val="ListBullet"/>
      </w:pPr>
      <w:r>
        <w:t>OPIS manifest and BusinessAdminPage navigation</w:t>
      </w:r>
    </w:p>
    <w:p>
      <w:pPr>
        <w:pStyle w:val="ListBullet"/>
      </w:pPr>
      <w:r>
        <w:t>Storefront registration and shared web-core settings</w:t>
      </w:r>
    </w:p>
    <w:p>
      <w:pPr>
        <w:pStyle w:val="ListBullet"/>
      </w:pPr>
      <w:r>
        <w:t>Landlord registration/application storage</w:t>
      </w:r>
    </w:p>
    <w:p>
      <w:pPr>
        <w:pStyle w:val="ListBullet"/>
      </w:pPr>
      <w:r>
        <w:t>IMS Tenant Manager review/download</w:t>
      </w:r>
    </w:p>
    <w:p>
      <w:pPr>
        <w:pStyle w:val="ListBullet"/>
      </w:pPr>
      <w:r>
        <w:t>Tenant approval/materialization path</w:t>
      </w:r>
    </w:p>
    <w:p>
      <w:pPr>
        <w:pStyle w:val="Heading1"/>
      </w:pPr>
      <w:r>
        <w:t>Risks</w:t>
      </w:r>
    </w:p>
    <w:p>
      <w:pPr>
        <w:pStyle w:val="ListBullet"/>
      </w:pPr>
      <w:r>
        <w:t>Architecture boundary violation if OPIS receives pre-approval writes</w:t>
      </w:r>
    </w:p>
    <w:p>
      <w:pPr>
        <w:pStyle w:val="ListBullet"/>
      </w:pPr>
      <w:r>
        <w:t>Ambiguous Copany label</w:t>
      </w:r>
    </w:p>
    <w:p>
      <w:pPr>
        <w:pStyle w:val="ListBullet"/>
      </w:pPr>
      <w:r>
        <w:t>Plan phases incorrectly treated as global ledger phases</w:t>
      </w:r>
    </w:p>
    <w:p>
      <w:pPr>
        <w:pStyle w:val="ListBullet"/>
      </w:pPr>
      <w:r>
        <w:t>Duplicate admin interface</w:t>
      </w:r>
    </w:p>
    <w:p>
      <w:pPr>
        <w:pStyle w:val="ListBullet"/>
      </w:pPr>
      <w:r>
        <w:t>Incomplete decisions leading to rework</w:t>
      </w:r>
    </w:p>
    <w:p>
      <w:pPr>
        <w:pStyle w:val="Heading1"/>
      </w:pPr>
      <w:r>
        <w:t>Tests Required</w:t>
      </w:r>
    </w:p>
    <w:p>
      <w:pPr>
        <w:pStyle w:val="ListBullet"/>
      </w:pPr>
      <w:r>
        <w:t>Confirm document set is readable and cross-references resolve</w:t>
      </w:r>
    </w:p>
    <w:p>
      <w:pPr>
        <w:pStyle w:val="ListBullet"/>
      </w:pPr>
      <w:r>
        <w:t>Confirm no application source files changed</w:t>
      </w:r>
    </w:p>
    <w:p>
      <w:pPr>
        <w:pStyle w:val="ListBullet"/>
      </w:pPr>
      <w:r>
        <w:t>Confirm all open decisions are explicitly listed</w:t>
      </w:r>
    </w:p>
    <w:p>
      <w:pPr>
        <w:pStyle w:val="ListBullet"/>
      </w:pPr>
      <w:r>
        <w:t>Confirm Phase 471 dependency is visible</w:t>
      </w:r>
    </w:p>
    <w:p>
      <w:pPr>
        <w:pStyle w:val="Heading1"/>
      </w:pPr>
      <w:r>
        <w:t>Acceptance Criteria</w:t>
      </w:r>
    </w:p>
    <w:p>
      <w:pPr>
        <w:pStyle w:val="ListBullet"/>
      </w:pPr>
      <w:r>
        <w:t>All nine plan documents exist in the documented reading order</w:t>
      </w:r>
    </w:p>
    <w:p>
      <w:pPr>
        <w:pStyle w:val="ListBullet"/>
      </w:pPr>
      <w:r>
        <w:t>No implementation is claimed</w:t>
      </w:r>
    </w:p>
    <w:p>
      <w:pPr>
        <w:pStyle w:val="ListBullet"/>
      </w:pPr>
      <w:r>
        <w:t>Open decisions and approval gate are visible</w:t>
      </w:r>
    </w:p>
    <w:p>
      <w:pPr>
        <w:pStyle w:val="ListBullet"/>
      </w:pPr>
      <w:r>
        <w:t>The recommended ownership boundary is accepted before build work</w:t>
      </w:r>
    </w:p>
    <w:p>
      <w:pPr>
        <w:pStyle w:val="Heading1"/>
      </w:pPr>
      <w:r>
        <w:t>Execution Dependencies</w:t>
      </w:r>
    </w:p>
    <w:p>
      <w:pPr>
        <w:pStyle w:val="ListBullet"/>
      </w:pPr>
      <w:r>
        <w:t>User must confirm label and open decisions</w:t>
      </w:r>
    </w:p>
    <w:p>
      <w:pPr>
        <w:pStyle w:val="ListBullet"/>
      </w:pPr>
      <w:r>
        <w:t>Phase 471 must complete before reserving global Phase 472</w:t>
      </w:r>
    </w:p>
    <w:p>
      <w:pPr>
        <w:pStyle w:val="ListBullet"/>
      </w:pPr>
      <w:r>
        <w:t>Approved token is required before code/migration implementation</w:t>
      </w:r>
    </w:p>
    <w:p>
      <w:pPr>
        <w:pStyle w:val="Heading1"/>
      </w:pPr>
      <w:r>
        <w:t>Cross-References</w:t>
      </w:r>
    </w:p>
    <w:p>
      <w:pPr>
        <w:pStyle w:val="ListBullet"/>
      </w:pPr>
      <w:r>
        <w:t>AGENTS.md (repository boundaries, approval gate, continuous phase numbering, and planning lookup order).</w:t>
      </w:r>
    </w:p>
    <w:p>
      <w:pPr>
        <w:pStyle w:val="ListBullet"/>
      </w:pPr>
      <w:r>
        <w:t>docs/START_HERE.md; docs/architecture/ARCHITECTURE_BOUNDARIES.md; docs/architecture/ARCHITECTURE_GOVERNANCE.md.</w:t>
      </w:r>
    </w:p>
    <w:p>
      <w:pPr>
        <w:pStyle w:val="ListBullet"/>
      </w:pPr>
      <w:r>
        <w:t>docs/architecture/adr/0013-tenant-first-login-onboarding-and-storefront-readiness-contract.md.</w:t>
      </w:r>
    </w:p>
    <w:p>
      <w:pPr>
        <w:pStyle w:val="ListBullet"/>
      </w:pPr>
      <w:r>
        <w:t>docs/architecture/adr/0022-global-dgfy-account-business-registration.md.</w:t>
      </w:r>
    </w:p>
    <w:p>
      <w:pPr>
        <w:pStyle w:val="ListBullet"/>
      </w:pPr>
      <w:r>
        <w:t>docs/architecture/adr/0029-catalog-inventory-pos-storefront-ownership-boundaries.md.</w:t>
      </w:r>
    </w:p>
    <w:p>
      <w:pPr>
        <w:pStyle w:val="ListBullet"/>
      </w:pPr>
      <w:r>
        <w:t>docs/architecture/adr/0049-batch-menu-import-async-extraction.md.</w:t>
      </w:r>
    </w:p>
    <w:p>
      <w:pPr>
        <w:pStyle w:val="ListBullet"/>
      </w:pPr>
      <w:r>
        <w:t>docs/architecture/adr/0087-dedicated-back-office-fourth-frontend-app-opis.md and proposed 0088 POS/OPIS boundary.</w:t>
      </w:r>
    </w:p>
    <w:p>
      <w:pPr>
        <w:pStyle w:val="ListBullet"/>
      </w:pPr>
      <w:r>
        <w:t>docs/features/backoffice.md and docs/features/IMPLEMENTATION_PHASE_LEDGER.md.</w:t>
      </w:r>
    </w:p>
    <w:p>
      <w:pPr>
        <w:pStyle w:val="ListBullet"/>
      </w:pPr>
      <w:r>
        <w:t>Attached BUSINESS_REGISTRATION_STORE_SETUP_FLOW_GUIDE.md.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Business Registration and Store Setup - Back Office Integration | Plan v1.0 | 2026-10-01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eastAsia="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