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left"/>
      </w:pPr>
      <w:r>
        <w:rPr>
          <w:b/>
          <w:color w:val="000000"/>
          <w:sz w:val="44"/>
        </w:rPr>
        <w:t>POS Register Reconciliation Integrity Fix Plan</w:t>
      </w:r>
    </w:p>
    <w:p>
      <w:pPr>
        <w:spacing w:after="240"/>
        <w:jc w:val="left"/>
      </w:pPr>
      <w:r>
        <w:rPr>
          <w:color w:val="000000"/>
          <w:sz w:val="22"/>
        </w:rPr>
        <w:t>Master index for the register reconciliation arithmetic and row grain fix</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F2F2F2"/>
            <w:tcMar>
              <w:top w:w="90" w:type="dxa"/>
              <w:start w:w="120" w:type="dxa"/>
              <w:bottom w:w="90" w:type="dxa"/>
              <w:end w:w="120" w:type="dxa"/>
            </w:tcMar>
          </w:tcPr>
          <w:p>
            <w:r>
              <w:rPr>
                <w:b/>
                <w:color w:val="000000"/>
                <w:sz w:val="18"/>
              </w:rPr>
              <w:t>Project Name</w:t>
            </w:r>
          </w:p>
        </w:tc>
        <w:tc>
          <w:tcPr>
            <w:tcW w:type="dxa" w:w="5083"/>
            <w:vAlign w:val="center"/>
            <w:shd w:fill="FFFFFF"/>
            <w:tcMar>
              <w:top w:w="90" w:type="dxa"/>
              <w:start w:w="120" w:type="dxa"/>
              <w:bottom w:w="90" w:type="dxa"/>
              <w:end w:w="120" w:type="dxa"/>
            </w:tcMar>
          </w:tcPr>
          <w:p>
            <w:r>
              <w:rPr>
                <w:b w:val="0"/>
                <w:color w:val="000000"/>
                <w:sz w:val="18"/>
              </w:rPr>
              <w:t>POS Register Reconciliation Integrity Fix</w:t>
            </w:r>
          </w:p>
        </w:tc>
      </w:tr>
      <w:tr>
        <w:tc>
          <w:tcPr>
            <w:tcW w:type="dxa" w:w="5083"/>
            <w:vAlign w:val="center"/>
            <w:shd w:fill="F2F2F2"/>
            <w:tcMar>
              <w:top w:w="90" w:type="dxa"/>
              <w:start w:w="120" w:type="dxa"/>
              <w:bottom w:w="90" w:type="dxa"/>
              <w:end w:w="120" w:type="dxa"/>
            </w:tcMar>
          </w:tcPr>
          <w:p>
            <w:r>
              <w:rPr>
                <w:b/>
                <w:color w:val="000000"/>
                <w:sz w:val="18"/>
              </w:rPr>
              <w:t>Plan Version</w:t>
            </w:r>
          </w:p>
        </w:tc>
        <w:tc>
          <w:tcPr>
            <w:tcW w:type="dxa" w:w="5083"/>
            <w:vAlign w:val="center"/>
            <w:shd w:fill="FFFFFF"/>
            <w:tcMar>
              <w:top w:w="90" w:type="dxa"/>
              <w:start w:w="120" w:type="dxa"/>
              <w:bottom w:w="90" w:type="dxa"/>
              <w:end w:w="120" w:type="dxa"/>
            </w:tcMar>
          </w:tcPr>
          <w:p>
            <w:r>
              <w:rPr>
                <w:b w:val="0"/>
                <w:color w:val="000000"/>
                <w:sz w:val="18"/>
              </w:rPr>
              <w:t>1.0</w:t>
            </w:r>
          </w:p>
        </w:tc>
      </w:tr>
      <w:tr>
        <w:tc>
          <w:tcPr>
            <w:tcW w:type="dxa" w:w="5083"/>
            <w:vAlign w:val="center"/>
            <w:shd w:fill="F2F2F2"/>
            <w:tcMar>
              <w:top w:w="90" w:type="dxa"/>
              <w:start w:w="120" w:type="dxa"/>
              <w:bottom w:w="90" w:type="dxa"/>
              <w:end w:w="120" w:type="dxa"/>
            </w:tcMar>
          </w:tcPr>
          <w:p>
            <w:r>
              <w:rPr>
                <w:b/>
                <w:color w:val="000000"/>
                <w:sz w:val="18"/>
              </w:rPr>
              <w:t>Section Number</w:t>
            </w:r>
          </w:p>
        </w:tc>
        <w:tc>
          <w:tcPr>
            <w:tcW w:type="dxa" w:w="5083"/>
            <w:vAlign w:val="center"/>
            <w:shd w:fill="FFFFFF"/>
            <w:tcMar>
              <w:top w:w="90" w:type="dxa"/>
              <w:start w:w="120" w:type="dxa"/>
              <w:bottom w:w="90" w:type="dxa"/>
              <w:end w:w="120" w:type="dxa"/>
            </w:tcMar>
          </w:tcPr>
          <w:p>
            <w:r>
              <w:rPr>
                <w:b w:val="0"/>
                <w:color w:val="000000"/>
                <w:sz w:val="18"/>
              </w:rPr>
              <w:t>00</w:t>
            </w:r>
          </w:p>
        </w:tc>
      </w:tr>
      <w:tr>
        <w:tc>
          <w:tcPr>
            <w:tcW w:type="dxa" w:w="5083"/>
            <w:vAlign w:val="center"/>
            <w:shd w:fill="F2F2F2"/>
            <w:tcMar>
              <w:top w:w="90" w:type="dxa"/>
              <w:start w:w="120" w:type="dxa"/>
              <w:bottom w:w="90" w:type="dxa"/>
              <w:end w:w="120" w:type="dxa"/>
            </w:tcMar>
          </w:tcPr>
          <w:p>
            <w:r>
              <w:rPr>
                <w:b/>
                <w:color w:val="000000"/>
                <w:sz w:val="18"/>
              </w:rPr>
              <w:t>Section Title</w:t>
            </w:r>
          </w:p>
        </w:tc>
        <w:tc>
          <w:tcPr>
            <w:tcW w:type="dxa" w:w="5083"/>
            <w:vAlign w:val="center"/>
            <w:shd w:fill="FFFFFF"/>
            <w:tcMar>
              <w:top w:w="90" w:type="dxa"/>
              <w:start w:w="120" w:type="dxa"/>
              <w:bottom w:w="90" w:type="dxa"/>
              <w:end w:w="120" w:type="dxa"/>
            </w:tcMar>
          </w:tcPr>
          <w:p>
            <w:r>
              <w:rPr>
                <w:b w:val="0"/>
                <w:color w:val="000000"/>
                <w:sz w:val="18"/>
              </w:rPr>
              <w:t>Master Plan Index</w:t>
            </w:r>
          </w:p>
        </w:tc>
      </w:tr>
      <w:tr>
        <w:tc>
          <w:tcPr>
            <w:tcW w:type="dxa" w:w="5083"/>
            <w:vAlign w:val="center"/>
            <w:shd w:fill="F2F2F2"/>
            <w:tcMar>
              <w:top w:w="90" w:type="dxa"/>
              <w:start w:w="120" w:type="dxa"/>
              <w:bottom w:w="90" w:type="dxa"/>
              <w:end w:w="120" w:type="dxa"/>
            </w:tcMar>
          </w:tcPr>
          <w:p>
            <w:r>
              <w:rPr>
                <w:b/>
                <w:color w:val="000000"/>
                <w:sz w:val="18"/>
              </w:rPr>
              <w:t>Repository</w:t>
            </w:r>
          </w:p>
        </w:tc>
        <w:tc>
          <w:tcPr>
            <w:tcW w:type="dxa" w:w="5083"/>
            <w:vAlign w:val="center"/>
            <w:shd w:fill="FFFFFF"/>
            <w:tcMar>
              <w:top w:w="90" w:type="dxa"/>
              <w:start w:w="120" w:type="dxa"/>
              <w:bottom w:w="90" w:type="dxa"/>
              <w:end w:w="120" w:type="dxa"/>
            </w:tcMar>
          </w:tcPr>
          <w:p>
            <w:r>
              <w:rPr>
                <w:b w:val="0"/>
                <w:color w:val="000000"/>
                <w:sz w:val="18"/>
              </w:rPr>
              <w:t>C:/xampp/htdocs/POS-DGFY/.worktrees/StagingPOS</w:t>
            </w:r>
          </w:p>
        </w:tc>
      </w:tr>
      <w:tr>
        <w:tc>
          <w:tcPr>
            <w:tcW w:type="dxa" w:w="5083"/>
            <w:vAlign w:val="center"/>
            <w:shd w:fill="F2F2F2"/>
            <w:tcMar>
              <w:top w:w="90" w:type="dxa"/>
              <w:start w:w="120" w:type="dxa"/>
              <w:bottom w:w="90" w:type="dxa"/>
              <w:end w:w="120" w:type="dxa"/>
            </w:tcMar>
          </w:tcPr>
          <w:p>
            <w:r>
              <w:rPr>
                <w:b/>
                <w:color w:val="000000"/>
                <w:sz w:val="18"/>
              </w:rPr>
              <w:t>Branch and baseline</w:t>
            </w:r>
          </w:p>
        </w:tc>
        <w:tc>
          <w:tcPr>
            <w:tcW w:type="dxa" w:w="5083"/>
            <w:vAlign w:val="center"/>
            <w:shd w:fill="FFFFFF"/>
            <w:tcMar>
              <w:top w:w="90" w:type="dxa"/>
              <w:start w:w="120" w:type="dxa"/>
              <w:bottom w:w="90" w:type="dxa"/>
              <w:end w:w="120" w:type="dxa"/>
            </w:tcMar>
          </w:tcPr>
          <w:p>
            <w:r>
              <w:rPr>
                <w:b w:val="0"/>
                <w:color w:val="000000"/>
                <w:sz w:val="18"/>
              </w:rPr>
              <w:t>StagingPOS at cccf6a942e7ba51e3ffaa9ff405f785cf13e389a</w:t>
            </w:r>
          </w:p>
        </w:tc>
      </w:tr>
      <w:tr>
        <w:tc>
          <w:tcPr>
            <w:tcW w:type="dxa" w:w="5083"/>
            <w:vAlign w:val="center"/>
            <w:shd w:fill="F2F2F2"/>
            <w:tcMar>
              <w:top w:w="90" w:type="dxa"/>
              <w:start w:w="120" w:type="dxa"/>
              <w:bottom w:w="90" w:type="dxa"/>
              <w:end w:w="120" w:type="dxa"/>
            </w:tcMar>
          </w:tcPr>
          <w:p>
            <w:r>
              <w:rPr>
                <w:b/>
                <w:color w:val="000000"/>
                <w:sz w:val="18"/>
              </w:rPr>
              <w:t>Plan status</w:t>
            </w:r>
          </w:p>
        </w:tc>
        <w:tc>
          <w:tcPr>
            <w:tcW w:type="dxa" w:w="5083"/>
            <w:vAlign w:val="center"/>
            <w:shd w:fill="FFFFFF"/>
            <w:tcMar>
              <w:top w:w="90" w:type="dxa"/>
              <w:start w:w="120" w:type="dxa"/>
              <w:bottom w:w="90" w:type="dxa"/>
              <w:end w:w="120" w:type="dxa"/>
            </w:tcMar>
          </w:tcPr>
          <w:p>
            <w:r>
              <w:rPr>
                <w:b w:val="0"/>
                <w:color w:val="000000"/>
                <w:sz w:val="18"/>
              </w:rPr>
              <w:t>Planning artifact only no implementation or release action</w:t>
            </w:r>
          </w:p>
        </w:tc>
      </w:tr>
    </w:tbl>
    <w:p/>
    <w:p>
      <w:pPr>
        <w:pStyle w:val="Heading1"/>
        <w:keepNext/>
      </w:pPr>
      <w:r>
        <w:rPr>
          <w:b/>
          <w:color w:val="000000"/>
          <w:sz w:val="30"/>
        </w:rPr>
        <w:t>Original User Request</w:t>
      </w:r>
    </w:p>
    <w:p>
      <w:pPr>
        <w:spacing w:after="120" w:line="259" w:lineRule="auto"/>
      </w:pPr>
      <w:r>
        <w:rPr>
          <w:color w:val="000000"/>
        </w:rPr>
        <w:t>Give a plan to fix the bugs shown in the POS Reports register reconciliation table. The visible defect combines many register shift identifiers into one row and displays a variance that does not match the expected and counted amounts.</w:t>
      </w:r>
    </w:p>
    <w:p>
      <w:pPr>
        <w:pStyle w:val="Heading1"/>
        <w:keepNext/>
      </w:pPr>
      <w:r>
        <w:rPr>
          <w:b/>
          <w:color w:val="000000"/>
          <w:sz w:val="30"/>
        </w:rPr>
        <w:t>Final Objective</w:t>
      </w:r>
    </w:p>
    <w:p>
      <w:pPr>
        <w:spacing w:after="120" w:line="259" w:lineRule="auto"/>
      </w:pPr>
      <w:r>
        <w:rPr>
          <w:color w:val="000000"/>
        </w:rPr>
        <w:t>Make the Register Reconciliation report financially consistent and auditable. Each register row must represent one continuous register shift, show one shift identifier, derive variance from counted cash minus expected cash when both values exist, preserve shared-drawer and relief-cashier rules, and keep the UI, CSV export, print view, permissions, and historical read behavior aligned.</w:t>
      </w:r>
    </w:p>
    <w:p>
      <w:pPr>
        <w:pStyle w:val="Heading1"/>
        <w:keepNext/>
      </w:pPr>
      <w:r>
        <w:rPr>
          <w:b/>
          <w:color w:val="000000"/>
          <w:sz w:val="30"/>
        </w:rPr>
        <w:t>Purpose</w:t>
      </w:r>
    </w:p>
    <w:p>
      <w:pPr>
        <w:spacing w:after="120" w:line="259" w:lineRule="auto"/>
      </w:pPr>
      <w:r>
        <w:rPr>
          <w:color w:val="000000"/>
        </w:rPr>
        <w:t>Give the execution session one authoritative entry point for the register reconciliation bug fix and prevent a frontend-only correction from masking a backend financial inconsistency.</w:t>
      </w:r>
    </w:p>
    <w:p>
      <w:pPr>
        <w:pStyle w:val="Heading1"/>
        <w:keepNext/>
      </w:pPr>
      <w:r>
        <w:rPr>
          <w:b/>
          <w:color w:val="000000"/>
          <w:sz w:val="30"/>
        </w:rPr>
        <w:t>Dependencies</w:t>
      </w:r>
    </w:p>
    <w:p>
      <w:pPr>
        <w:pStyle w:val="ListBullet"/>
        <w:spacing w:after="60" w:line="252" w:lineRule="auto"/>
      </w:pPr>
      <w:r>
        <w:rPr>
          <w:color w:val="000000"/>
          <w:sz w:val="20"/>
        </w:rPr>
        <w:t>Phase 347 completion or explicit ledger reconciliation before global Phase 348 implementation.</w:t>
      </w:r>
    </w:p>
    <w:p>
      <w:pPr>
        <w:pStyle w:val="ListBullet"/>
        <w:spacing w:after="60" w:line="252" w:lineRule="auto"/>
      </w:pPr>
      <w:r>
        <w:rPr>
          <w:color w:val="000000"/>
          <w:sz w:val="20"/>
        </w:rPr>
        <w:t>The repository architecture, POS register custody and report contracts listed in the ADR and documentation index.</w:t>
      </w:r>
    </w:p>
    <w:p>
      <w:pPr>
        <w:pStyle w:val="Heading1"/>
        <w:keepNext/>
      </w:pPr>
      <w:r>
        <w:rPr>
          <w:b/>
          <w:color w:val="000000"/>
          <w:sz w:val="30"/>
        </w:rPr>
        <w:t>Confirmed Facts</w:t>
      </w:r>
    </w:p>
    <w:p>
      <w:pPr>
        <w:pStyle w:val="ListBullet"/>
        <w:spacing w:after="60" w:line="252" w:lineRule="auto"/>
      </w:pPr>
      <w:r>
        <w:rPr>
          <w:color w:val="000000"/>
          <w:sz w:val="20"/>
        </w:rPr>
        <w:t>The screenshot contains a multi-shift row and a variance that does not equal counted cash minus expected cash.</w:t>
      </w:r>
    </w:p>
    <w:p>
      <w:pPr>
        <w:pStyle w:val="ListBullet"/>
        <w:spacing w:after="60" w:line="252" w:lineRule="auto"/>
      </w:pPr>
      <w:r>
        <w:rPr>
          <w:color w:val="000000"/>
          <w:sz w:val="20"/>
        </w:rPr>
        <w:t>The current repository and frontend code paths that produce this behavior are named in Section 01.</w:t>
      </w:r>
    </w:p>
    <w:p>
      <w:pPr>
        <w:pStyle w:val="Heading1"/>
        <w:keepNext/>
      </w:pPr>
      <w:r>
        <w:rPr>
          <w:b/>
          <w:color w:val="000000"/>
          <w:sz w:val="30"/>
        </w:rPr>
        <w:t>Assumptions</w:t>
      </w:r>
    </w:p>
    <w:p>
      <w:pPr>
        <w:pStyle w:val="ListBullet"/>
        <w:spacing w:after="60" w:line="252" w:lineRule="auto"/>
      </w:pPr>
      <w:r>
        <w:rPr>
          <w:color w:val="000000"/>
          <w:sz w:val="20"/>
        </w:rPr>
        <w:t>The intended register report grain is one continuous register shift, while cashier summaries may remain grouped.</w:t>
      </w:r>
    </w:p>
    <w:p>
      <w:pPr>
        <w:pStyle w:val="ListBullet"/>
        <w:spacing w:after="60" w:line="252" w:lineRule="auto"/>
      </w:pPr>
      <w:r>
        <w:rPr>
          <w:color w:val="000000"/>
          <w:sz w:val="20"/>
        </w:rPr>
        <w:t>No database migration or historical write-back is required for the read-path correction.</w:t>
      </w:r>
    </w:p>
    <w:p>
      <w:pPr>
        <w:pStyle w:val="Heading1"/>
        <w:keepNext/>
      </w:pPr>
      <w:r>
        <w:rPr>
          <w:b/>
          <w:color w:val="000000"/>
          <w:sz w:val="30"/>
        </w:rPr>
        <w:t>Requirements Covered</w:t>
      </w:r>
    </w:p>
    <w:p>
      <w:pPr>
        <w:pStyle w:val="ListBullet"/>
        <w:spacing w:after="60" w:line="252" w:lineRule="auto"/>
      </w:pPr>
      <w:r>
        <w:rPr>
          <w:color w:val="000000"/>
          <w:sz w:val="20"/>
        </w:rPr>
        <w:t>RRF-FR, RRF-BR, RRF-DATA, RRF-SEC, RRF-UI, RRF-TEST and RRF-OPS requirements are indexed below and expanded in Sections 02 and 05.</w:t>
      </w:r>
    </w:p>
    <w:p>
      <w:pPr>
        <w:pStyle w:val="Heading1"/>
        <w:keepNext/>
      </w:pPr>
      <w:r>
        <w:rPr>
          <w:b/>
          <w:color w:val="000000"/>
          <w:sz w:val="30"/>
        </w:rPr>
        <w:t>Repository Baseline</w:t>
      </w:r>
    </w:p>
    <w:tbl>
      <w:tblPr>
        <w:tblW w:type="auto" w:w="0"/>
        <w:jc w:val="left"/>
        <w:tblLayout w:type="autofit"/>
        <w:tblLook w:firstColumn="1" w:firstRow="1" w:lastColumn="0" w:lastRow="0" w:noHBand="0" w:noVBand="1" w:val="04A0"/>
      </w:tblPr>
      <w:tblGrid>
        <w:gridCol w:w="5083"/>
        <w:gridCol w:w="5083"/>
      </w:tblGrid>
      <w:tr>
        <w:tc>
          <w:tcPr>
            <w:tcW w:type="dxa" w:w="2088"/>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Area</w:t>
            </w:r>
          </w:p>
        </w:tc>
        <w:tc>
          <w:tcPr>
            <w:tcW w:type="dxa" w:w="8496"/>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Baseline</w:t>
            </w:r>
          </w:p>
        </w:tc>
      </w:tr>
      <w:tr>
        <w:tc>
          <w:tcPr>
            <w:tcW w:type="dxa" w:w="2088"/>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Workspace</w:t>
            </w:r>
          </w:p>
        </w:tc>
        <w:tc>
          <w:tcPr>
            <w:tcW w:type="dxa" w:w="8496"/>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C:/xampp/htdocs/POS-DGFY/.worktrees/StagingPOS</w:t>
            </w:r>
          </w:p>
        </w:tc>
      </w:tr>
      <w:tr>
        <w:tc>
          <w:tcPr>
            <w:tcW w:type="dxa" w:w="2088"/>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Branch</w:t>
            </w:r>
          </w:p>
        </w:tc>
        <w:tc>
          <w:tcPr>
            <w:tcW w:type="dxa" w:w="8496"/>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StagingPOS</w:t>
            </w:r>
          </w:p>
        </w:tc>
      </w:tr>
      <w:tr>
        <w:tc>
          <w:tcPr>
            <w:tcW w:type="dxa" w:w="2088"/>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Baseline commit</w:t>
            </w:r>
          </w:p>
        </w:tc>
        <w:tc>
          <w:tcPr>
            <w:tcW w:type="dxa" w:w="8496"/>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cccf6a942e7ba51e3ffaa9ff405f785cf13e389a</w:t>
            </w:r>
          </w:p>
        </w:tc>
      </w:tr>
      <w:tr>
        <w:tc>
          <w:tcPr>
            <w:tcW w:type="dxa" w:w="2088"/>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Working tree</w:t>
            </w:r>
          </w:p>
        </w:tc>
        <w:tc>
          <w:tcPr>
            <w:tcW w:type="dxa" w:w="8496"/>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Already dirty with earlier POS reports and cashier-history work; preserve it and isolate this plan</w:t>
            </w:r>
          </w:p>
        </w:tc>
      </w:tr>
      <w:tr>
        <w:tc>
          <w:tcPr>
            <w:tcW w:type="dxa" w:w="2088"/>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Current global phase</w:t>
            </w:r>
          </w:p>
        </w:tc>
        <w:tc>
          <w:tcPr>
            <w:tcW w:type="dxa" w:w="8496"/>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Phase 347 is in_progress; Phase 348 is the next eligible number after Phase 347 completion</w:t>
            </w:r>
          </w:p>
        </w:tc>
      </w:tr>
      <w:tr>
        <w:tc>
          <w:tcPr>
            <w:tcW w:type="dxa" w:w="2088"/>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Plan boundary</w:t>
            </w:r>
          </w:p>
        </w:tc>
        <w:tc>
          <w:tcPr>
            <w:tcW w:type="dxa" w:w="8496"/>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Documentation only; no source code, database, commit, push, PR, or deployment</w:t>
            </w:r>
          </w:p>
        </w:tc>
      </w:tr>
      <w:tr>
        <w:tc>
          <w:tcPr>
            <w:tcW w:type="dxa" w:w="2088"/>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Primary affected surface</w:t>
            </w:r>
          </w:p>
        </w:tc>
        <w:tc>
          <w:tcPr>
            <w:tcW w:type="dxa" w:w="8496"/>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POS Reports workspace Operations Registers view and its overview export path</w:t>
            </w:r>
          </w:p>
        </w:tc>
      </w:tr>
    </w:tbl>
    <w:p/>
    <w:p>
      <w:pPr>
        <w:pStyle w:val="Heading1"/>
        <w:keepNext/>
      </w:pPr>
      <w:r>
        <w:rPr>
          <w:b/>
          <w:color w:val="000000"/>
          <w:sz w:val="30"/>
        </w:rPr>
        <w:t>Authoritative Reading Order</w:t>
      </w:r>
    </w:p>
    <w:p>
      <w:pPr>
        <w:pStyle w:val="ListNumber"/>
        <w:spacing w:after="60" w:line="252" w:lineRule="auto"/>
      </w:pPr>
      <w:r>
        <w:rPr>
          <w:color w:val="000000"/>
          <w:sz w:val="20"/>
        </w:rPr>
        <w:t>01_Objective_Current_State_and_Flow.docx confirms the screenshot evidence, current data flow, scope boundary, and target row grain.</w:t>
      </w:r>
    </w:p>
    <w:p>
      <w:pPr>
        <w:pStyle w:val="ListNumber"/>
        <w:spacing w:after="60" w:line="252" w:lineRule="auto"/>
      </w:pPr>
      <w:r>
        <w:rPr>
          <w:color w:val="000000"/>
          <w:sz w:val="20"/>
        </w:rPr>
        <w:t>02_Requirements_and_Business_Rules.docx freezes the financial invariant, null behavior, shared-drawer rule, and permission contract.</w:t>
      </w:r>
    </w:p>
    <w:p>
      <w:pPr>
        <w:pStyle w:val="ListNumber"/>
        <w:spacing w:after="60" w:line="252" w:lineRule="auto"/>
      </w:pPr>
      <w:r>
        <w:rPr>
          <w:color w:val="000000"/>
          <w:sz w:val="20"/>
        </w:rPr>
        <w:t>03_Backend_Data_and_API_Plan.docx defines the repository/usecase response contract, aggregation split, anomaly handling, and export compatibility.</w:t>
      </w:r>
    </w:p>
    <w:p>
      <w:pPr>
        <w:pStyle w:val="ListNumber"/>
        <w:spacing w:after="60" w:line="252" w:lineRule="auto"/>
      </w:pPr>
      <w:r>
        <w:rPr>
          <w:color w:val="000000"/>
          <w:sz w:val="20"/>
        </w:rPr>
        <w:t>04_Frontend_Register_Reconciliation_UI.docx maps the singular shift row into the existing shared report table without restoring Actions.</w:t>
      </w:r>
    </w:p>
    <w:p>
      <w:pPr>
        <w:pStyle w:val="ListNumber"/>
        <w:spacing w:after="60" w:line="252" w:lineRule="auto"/>
      </w:pPr>
      <w:r>
        <w:rPr>
          <w:color w:val="000000"/>
          <w:sz w:val="20"/>
        </w:rPr>
        <w:t>05_Testing_Security_Data_Integrity_and_Evidence.docx defines focused tests, read-only data audit, security scope checks, performance checks, and staging proof.</w:t>
      </w:r>
    </w:p>
    <w:p>
      <w:pPr>
        <w:pStyle w:val="ListNumber"/>
        <w:spacing w:after="60" w:line="252" w:lineRule="auto"/>
      </w:pPr>
      <w:r>
        <w:rPr>
          <w:color w:val="000000"/>
          <w:sz w:val="20"/>
        </w:rPr>
        <w:t>06_Implementation_Rollout_Rollback_and_Risks.docx defines the ordered implementation slices, Phase 348 dependency, rollout gates, stop conditions, and rollback.</w:t>
      </w:r>
    </w:p>
    <w:p>
      <w:pPr>
        <w:spacing w:after="120" w:line="259" w:lineRule="auto"/>
      </w:pPr>
      <w:r>
        <w:rPr>
          <w:color w:val="000000"/>
        </w:rPr>
        <w:t>Execute the sections in order. Section 03 is the source of truth for the API shape before Section 04 changes any presentation logic.</w:t>
      </w:r>
    </w:p>
    <w:p>
      <w:pPr>
        <w:pStyle w:val="Heading1"/>
        <w:keepNext/>
      </w:pPr>
      <w:r>
        <w:rPr>
          <w:b/>
          <w:color w:val="000000"/>
          <w:sz w:val="30"/>
        </w:rPr>
        <w:t>Document Dependency Map</w:t>
      </w:r>
    </w:p>
    <w:tbl>
      <w:tblPr>
        <w:tblW w:type="auto" w:w="0"/>
        <w:jc w:val="left"/>
        <w:tblLayout w:type="autofit"/>
        <w:tblLook w:firstColumn="1" w:firstRow="1" w:lastColumn="0" w:lastRow="0" w:noHBand="0" w:noVBand="1" w:val="04A0"/>
      </w:tblPr>
      <w:tblGrid>
        <w:gridCol w:w="3389"/>
        <w:gridCol w:w="3389"/>
        <w:gridCol w:w="3389"/>
      </w:tblGrid>
      <w:tr>
        <w:tc>
          <w:tcPr>
            <w:tcW w:type="dxa" w:w="3389"/>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Section</w:t>
            </w:r>
          </w:p>
        </w:tc>
        <w:tc>
          <w:tcPr>
            <w:tcW w:type="dxa" w:w="3389"/>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Depends on</w:t>
            </w:r>
          </w:p>
        </w:tc>
        <w:tc>
          <w:tcPr>
            <w:tcW w:type="dxa" w:w="3389"/>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Produces</w:t>
            </w:r>
          </w:p>
        </w:tc>
      </w:tr>
      <w:tr>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01</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Repository and architecture baseline</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Confirmed defect, current flow, target flow, and scope</w:t>
            </w:r>
          </w:p>
        </w:tc>
      </w:tr>
      <w:tr>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02</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01 plus ADR 0073 and register-custody rules</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Requirements, business rules, field and status contract</w:t>
            </w:r>
          </w:p>
        </w:tc>
      </w:tr>
      <w:tr>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03</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02 plus current repository and export code</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Backend algorithm, API shape, anomaly policy, no-migration decision</w:t>
            </w:r>
          </w:p>
        </w:tc>
      </w:tr>
      <w:tr>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04</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03 plus existing shared table conventions</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Frontend rendering, accessibility, print/export consumer changes</w:t>
            </w:r>
          </w:p>
        </w:tc>
      </w:tr>
      <w:tr>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05</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02 to 04</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Test matrix, security/performance gates, data-audit and UAT evidence</w:t>
            </w:r>
          </w:p>
        </w:tc>
      </w:tr>
      <w:tr>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06</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All previous sections</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Implementation order, rollout, rollback, risks, stop and recovery conditions</w:t>
            </w:r>
          </w:p>
        </w:tc>
      </w:tr>
    </w:tbl>
    <w:p/>
    <w:p>
      <w:pPr>
        <w:pStyle w:val="Heading1"/>
        <w:keepNext/>
      </w:pPr>
      <w:r>
        <w:rPr>
          <w:b/>
          <w:color w:val="000000"/>
          <w:sz w:val="30"/>
        </w:rPr>
        <w:t>Requirement Index</w:t>
      </w:r>
    </w:p>
    <w:tbl>
      <w:tblPr>
        <w:tblW w:type="auto" w:w="0"/>
        <w:jc w:val="left"/>
        <w:tblLayout w:type="autofit"/>
        <w:tblLook w:firstColumn="1" w:firstRow="1" w:lastColumn="0" w:lastRow="0" w:noHBand="0" w:noVBand="1" w:val="04A0"/>
      </w:tblPr>
      <w:tblGrid>
        <w:gridCol w:w="5083"/>
        <w:gridCol w:w="5083"/>
      </w:tblGrid>
      <w:tr>
        <w:tc>
          <w:tcPr>
            <w:tcW w:type="dxa" w:w="5083"/>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ID group</w:t>
            </w:r>
          </w:p>
        </w:tc>
        <w:tc>
          <w:tcPr>
            <w:tcW w:type="dxa" w:w="5083"/>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Coverage</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RRF-FR-001 to 006</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One row per register shift, correct amounts, correct state, stable filtering, historical readability, export parity</w:t>
            </w:r>
          </w:p>
        </w:tc>
      </w:tr>
      <w:tr>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RRF-BR-001 to 008</w:t>
            </w:r>
          </w:p>
        </w:tc>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Drawer ownership, variance arithmetic, open shifts, rounding, shared relief, aggregate separation, no fabrication, immutable history</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RRF-DATA-001 to 006</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Shift source fields, transaction/event inputs, singular response identity, anomaly detection, no write-back, read-only audit</w:t>
            </w:r>
          </w:p>
        </w:tc>
      </w:tr>
      <w:tr>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RRF-SEC-001 to 004</w:t>
            </w:r>
          </w:p>
        </w:tc>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Tenant/company, location, terminal, cashier/date filters and failure-closed authorization</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RRF-UI-001 to 005</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Singular shift label, status consistency, responsive table, accessibility, no Actions column</w:t>
            </w:r>
          </w:p>
        </w:tc>
      </w:tr>
      <w:tr>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RRF-TEST-001 to 007</w:t>
            </w:r>
          </w:p>
        </w:tc>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Repository, usecase, route, frontend, integration, security, performance and evidence gates</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RRF-OPS-001 to 005</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Staging rollout, monitoring, rollback, historical safety and release evidence</w:t>
            </w:r>
          </w:p>
        </w:tc>
      </w:tr>
    </w:tbl>
    <w:p/>
    <w:p>
      <w:pPr>
        <w:pStyle w:val="Heading1"/>
        <w:keepNext/>
      </w:pPr>
      <w:r>
        <w:rPr>
          <w:b/>
          <w:color w:val="000000"/>
          <w:sz w:val="30"/>
        </w:rPr>
        <w:t>Business Rule Index</w:t>
      </w:r>
    </w:p>
    <w:p>
      <w:pPr>
        <w:pStyle w:val="ListBullet"/>
        <w:spacing w:after="60" w:line="252" w:lineRule="auto"/>
      </w:pPr>
      <w:r>
        <w:rPr>
          <w:color w:val="000000"/>
          <w:sz w:val="20"/>
        </w:rPr>
        <w:t>RRF-BR-001: A register reconciliation row represents one continuous drawer lifecycle identified by one pos_terminal_shift_id.</w:t>
      </w:r>
    </w:p>
    <w:p>
      <w:pPr>
        <w:pStyle w:val="ListBullet"/>
        <w:spacing w:after="60" w:line="252" w:lineRule="auto"/>
      </w:pPr>
      <w:r>
        <w:rPr>
          <w:color w:val="000000"/>
          <w:sz w:val="20"/>
        </w:rPr>
        <w:t>RRF-BR-002: When expected and counted cash are both present, variance equals counted cash minus expected cash after the repository rounding policy.</w:t>
      </w:r>
    </w:p>
    <w:p>
      <w:pPr>
        <w:pStyle w:val="ListBullet"/>
        <w:spacing w:after="60" w:line="252" w:lineRule="auto"/>
      </w:pPr>
      <w:r>
        <w:rPr>
          <w:color w:val="000000"/>
          <w:sz w:val="20"/>
        </w:rPr>
        <w:t>RRF-BR-003: A missing counted amount is Open and has no displayed variance; a persisted variance cannot make an open row closed.</w:t>
      </w:r>
    </w:p>
    <w:p>
      <w:pPr>
        <w:pStyle w:val="ListBullet"/>
        <w:spacing w:after="60" w:line="252" w:lineRule="auto"/>
      </w:pPr>
      <w:r>
        <w:rPr>
          <w:color w:val="000000"/>
          <w:sz w:val="20"/>
        </w:rPr>
        <w:t>RRF-BR-004: Positive variance is Over, negative variance is Short, and zero variance is Reconciled.</w:t>
      </w:r>
    </w:p>
    <w:p>
      <w:pPr>
        <w:pStyle w:val="ListBullet"/>
        <w:spacing w:after="60" w:line="252" w:lineRule="auto"/>
      </w:pPr>
      <w:r>
        <w:rPr>
          <w:color w:val="000000"/>
          <w:sz w:val="20"/>
        </w:rPr>
        <w:t>RRF-BR-005: Relief operator access is auditable shared-drawer activity and does not create individual variance ownership without a counted custody transfer.</w:t>
      </w:r>
    </w:p>
    <w:p>
      <w:pPr>
        <w:pStyle w:val="ListBullet"/>
        <w:spacing w:after="60" w:line="252" w:lineRule="auto"/>
      </w:pPr>
      <w:r>
        <w:rPr>
          <w:color w:val="000000"/>
          <w:sz w:val="20"/>
        </w:rPr>
        <w:t>RRF-BR-006: Cashier aggregates and register-shift rows are different grains and must not share an accidental grouped response.</w:t>
      </w:r>
    </w:p>
    <w:p>
      <w:pPr>
        <w:pStyle w:val="ListBullet"/>
        <w:spacing w:after="60" w:line="252" w:lineRule="auto"/>
      </w:pPr>
      <w:r>
        <w:rPr>
          <w:color w:val="000000"/>
          <w:sz w:val="20"/>
        </w:rPr>
        <w:t>RRF-BR-007: Existing stored financial history is not rewritten by a report fix; the report must read it safely and expose anomalies for investigation.</w:t>
      </w:r>
    </w:p>
    <w:p>
      <w:pPr>
        <w:pStyle w:val="ListBullet"/>
        <w:spacing w:after="60" w:line="252" w:lineRule="auto"/>
      </w:pPr>
      <w:r>
        <w:rPr>
          <w:color w:val="000000"/>
          <w:sz w:val="20"/>
        </w:rPr>
        <w:t>RRF-BR-008: All report rows remain tenant, location, terminal, date, and permission scoped server-side.</w:t>
      </w:r>
    </w:p>
    <w:p>
      <w:pPr>
        <w:pStyle w:val="Heading1"/>
        <w:keepNext/>
      </w:pPr>
      <w:r>
        <w:rPr>
          <w:b/>
          <w:color w:val="000000"/>
          <w:sz w:val="30"/>
        </w:rPr>
        <w:t>ADR and Documentation Index</w:t>
      </w:r>
    </w:p>
    <w:tbl>
      <w:tblPr>
        <w:tblW w:type="auto" w:w="0"/>
        <w:jc w:val="left"/>
        <w:tblLayout w:type="autofit"/>
        <w:tblLook w:firstColumn="1" w:firstRow="1" w:lastColumn="0" w:lastRow="0" w:noHBand="0" w:noVBand="1" w:val="04A0"/>
      </w:tblPr>
      <w:tblGrid>
        <w:gridCol w:w="5083"/>
        <w:gridCol w:w="5083"/>
      </w:tblGrid>
      <w:tr>
        <w:tc>
          <w:tcPr>
            <w:tcW w:type="dxa" w:w="5083"/>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Reference</w:t>
            </w:r>
          </w:p>
        </w:tc>
        <w:tc>
          <w:tcPr>
            <w:tcW w:type="dxa" w:w="5083"/>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Decision used by this plan</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docs/START_HERE.md</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Required documentation lookup order and repository operating rules</w:t>
            </w:r>
          </w:p>
        </w:tc>
      </w:tr>
      <w:tr>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docs/architecture/ARCHITECTURE_BOUNDARIES.md</w:t>
            </w:r>
          </w:p>
        </w:tc>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Routes to controllers to usecases to repositories to models; no business logic in controllers</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docs/architecture/ARCHITECTURE_GOVERNANCE.md</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Change classification, verification and release discipline</w:t>
            </w:r>
          </w:p>
        </w:tc>
      </w:tr>
      <w:tr>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ADR 0073</w:t>
            </w:r>
          </w:p>
        </w:tc>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One register shift owns opening float, tender ledger, final count and variance; relief does not fabricate individual variance</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POS_CASHIER_BREAK_AND_REGISTER_HANDOFF_PLAN.md</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Reporting keeps X/Z and register totals register-based while cashier sales and operator intervals remain separate</w:t>
            </w:r>
          </w:p>
        </w:tc>
      </w:tr>
      <w:tr>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docs/api/specification.md</w:t>
            </w:r>
          </w:p>
        </w:tc>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Existing POS reports overview and export contract; preserve route and authorization behavior</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apps/dgfy-api/.../posRepository.js</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Current source of the grouped registers response and persisted variance handling</w:t>
            </w:r>
          </w:p>
        </w:tc>
      </w:tr>
      <w:tr>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packages/web-core/.../PosReportsRegistersTable.jsx</w:t>
            </w:r>
          </w:p>
        </w:tc>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Current UI row and status rendering</w:t>
            </w:r>
          </w:p>
        </w:tc>
      </w:tr>
    </w:tbl>
    <w:p/>
    <w:p>
      <w:pPr>
        <w:pStyle w:val="Heading1"/>
        <w:keepNext/>
      </w:pPr>
      <w:r>
        <w:rPr>
          <w:b/>
          <w:color w:val="000000"/>
          <w:sz w:val="30"/>
        </w:rPr>
        <w:t>Risk Index</w:t>
      </w:r>
    </w:p>
    <w:tbl>
      <w:tblPr>
        <w:tblW w:type="auto" w:w="0"/>
        <w:jc w:val="left"/>
        <w:tblLayout w:type="autofit"/>
        <w:tblLook w:firstColumn="1" w:firstRow="1" w:lastColumn="0" w:lastRow="0" w:noHBand="0" w:noVBand="1" w:val="04A0"/>
      </w:tblPr>
      <w:tblGrid>
        <w:gridCol w:w="5083"/>
        <w:gridCol w:w="5083"/>
      </w:tblGrid>
      <w:tr>
        <w:tc>
          <w:tcPr>
            <w:tcW w:type="dxa" w:w="5083"/>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Risk</w:t>
            </w:r>
          </w:p>
        </w:tc>
        <w:tc>
          <w:tcPr>
            <w:tcW w:type="dxa" w:w="5083"/>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Control</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Financial totals remain internally inconsistent</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Derive report variance from expected and counted, add invariant tests, and emit mismatch telemetry</w:t>
            </w:r>
          </w:p>
        </w:tc>
      </w:tr>
      <w:tr>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Changing row grain breaks CSV or consumers</w:t>
            </w:r>
          </w:p>
        </w:tc>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Search all consumers, update API/export/UI together, and run contract tests</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Historical data is silently modified</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No migration or write-back; use a read-only diagnostic and separate repair decision</w:t>
            </w:r>
          </w:p>
        </w:tc>
      </w:tr>
      <w:tr>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Shared relief is misattributed</w:t>
            </w:r>
          </w:p>
        </w:tc>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Keep the opening-cashier and drawer-lifecycle wording; do not assign variance to operator sessions</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Large date ranges become slow</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Retain bounded filters, one shift query plus existing related reads, query-count and latency gates</w:t>
            </w:r>
          </w:p>
        </w:tc>
      </w:tr>
      <w:tr>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Dirty branch work is lost</w:t>
            </w:r>
          </w:p>
        </w:tc>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Do not reset, stash, commit or merge unrelated work as part of this plan</w:t>
            </w:r>
          </w:p>
        </w:tc>
      </w:tr>
    </w:tbl>
    <w:p/>
    <w:p>
      <w:pPr>
        <w:pStyle w:val="Heading1"/>
        <w:keepNext/>
      </w:pPr>
      <w:r>
        <w:rPr>
          <w:b/>
          <w:color w:val="000000"/>
          <w:sz w:val="30"/>
        </w:rPr>
        <w:t>Implementation Phase Index</w:t>
      </w:r>
    </w:p>
    <w:p>
      <w:pPr>
        <w:spacing w:after="120" w:line="259" w:lineRule="auto"/>
      </w:pPr>
      <w:r>
        <w:rPr>
          <w:color w:val="000000"/>
        </w:rPr>
        <w:t>These are local plan phases for the next global phase. The authoritative ledger currently has Phase 347 in_progress and names Phase 348 as next eligible only after Phase 347 completes. No Phase 348 implementation may start until that dependency is reconciled.</w:t>
      </w:r>
    </w:p>
    <w:tbl>
      <w:tblPr>
        <w:tblW w:type="auto" w:w="0"/>
        <w:jc w:val="left"/>
        <w:tblLayout w:type="autofit"/>
        <w:tblLook w:firstColumn="1" w:firstRow="1" w:lastColumn="0" w:lastRow="0" w:noHBand="0" w:noVBand="1" w:val="04A0"/>
      </w:tblPr>
      <w:tblGrid>
        <w:gridCol w:w="3389"/>
        <w:gridCol w:w="3389"/>
        <w:gridCol w:w="3389"/>
      </w:tblGrid>
      <w:tr>
        <w:tc>
          <w:tcPr>
            <w:tcW w:type="dxa" w:w="3389"/>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Local phase</w:t>
            </w:r>
          </w:p>
        </w:tc>
        <w:tc>
          <w:tcPr>
            <w:tcW w:type="dxa" w:w="3389"/>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Objective</w:t>
            </w:r>
          </w:p>
        </w:tc>
        <w:tc>
          <w:tcPr>
            <w:tcW w:type="dxa" w:w="3389"/>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Exit gate</w:t>
            </w:r>
          </w:p>
        </w:tc>
      </w:tr>
      <w:tr>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RRF-01 / global 348</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Freeze evidence and response contract</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Requirements and source-of-truth decisions recorded</w:t>
            </w:r>
          </w:p>
        </w:tc>
      </w:tr>
      <w:tr>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RRF-02 / global 348</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Separate per-shift register rows from cashier aggregates</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Repository fixtures prove one row per shift</w:t>
            </w:r>
          </w:p>
        </w:tc>
      </w:tr>
      <w:tr>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RRF-03 / global 348</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Enforce variance arithmetic and anomaly handling</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All financial invariant and null-state tests pass</w:t>
            </w:r>
          </w:p>
        </w:tc>
      </w:tr>
      <w:tr>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RRF-04 / global 348</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Align API export and shared POS table</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Overview, print and CSV consumers use singular shift_id</w:t>
            </w:r>
          </w:p>
        </w:tc>
      </w:tr>
      <w:tr>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RRF-05 / global 348</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Run security, performance, regression and staging UAT</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Evidence packet passes all acceptance gates</w:t>
            </w:r>
          </w:p>
        </w:tc>
      </w:tr>
      <w:tr>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RRF-06 / global 348</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Roll out with monitoring and rollback readiness</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Release decision is supported by SHA-bound evidence</w:t>
            </w:r>
          </w:p>
        </w:tc>
      </w:tr>
    </w:tbl>
    <w:p/>
    <w:p>
      <w:pPr>
        <w:pStyle w:val="Heading1"/>
        <w:keepNext/>
      </w:pPr>
      <w:r>
        <w:rPr>
          <w:b/>
          <w:color w:val="000000"/>
          <w:sz w:val="30"/>
        </w:rPr>
        <w:t>Acceptance Index</w:t>
      </w:r>
    </w:p>
    <w:p>
      <w:pPr>
        <w:pStyle w:val="ListBullet"/>
        <w:spacing w:after="60" w:line="252" w:lineRule="auto"/>
      </w:pPr>
      <w:r>
        <w:rPr>
          <w:color w:val="000000"/>
          <w:sz w:val="20"/>
        </w:rPr>
        <w:t>A visible multi-shift row no longer renders as a comma-separated register identifier.</w:t>
      </w:r>
    </w:p>
    <w:p>
      <w:pPr>
        <w:pStyle w:val="ListBullet"/>
        <w:spacing w:after="60" w:line="252" w:lineRule="auto"/>
      </w:pPr>
      <w:r>
        <w:rPr>
          <w:color w:val="000000"/>
          <w:sz w:val="20"/>
        </w:rPr>
        <w:t>For every closed row, counted minus expected equals displayed variance and the status agrees with the sign.</w:t>
      </w:r>
    </w:p>
    <w:p>
      <w:pPr>
        <w:pStyle w:val="ListBullet"/>
        <w:spacing w:after="60" w:line="252" w:lineRule="auto"/>
      </w:pPr>
      <w:r>
        <w:rPr>
          <w:color w:val="000000"/>
          <w:sz w:val="20"/>
        </w:rPr>
        <w:t>A closed shift with expected PHP 75,994.83 and counted PHP 71,931.83 is reported as Short by PHP 4,063.00, not Over by PHP 150.00.</w:t>
      </w:r>
    </w:p>
    <w:p>
      <w:pPr>
        <w:pStyle w:val="ListBullet"/>
        <w:spacing w:after="60" w:line="252" w:lineRule="auto"/>
      </w:pPr>
      <w:r>
        <w:rPr>
          <w:color w:val="000000"/>
          <w:sz w:val="20"/>
        </w:rPr>
        <w:t>Open shifts show Counted Pending, no variance, and Open status.</w:t>
      </w:r>
    </w:p>
    <w:p>
      <w:pPr>
        <w:pStyle w:val="ListBullet"/>
        <w:spacing w:after="60" w:line="252" w:lineRule="auto"/>
      </w:pPr>
      <w:r>
        <w:rPr>
          <w:color w:val="000000"/>
          <w:sz w:val="20"/>
        </w:rPr>
        <w:t>Cashier summaries can remain grouped, but register reconciliation rows are never grouped by cashier.</w:t>
      </w:r>
    </w:p>
    <w:p>
      <w:pPr>
        <w:pStyle w:val="ListBullet"/>
        <w:spacing w:after="60" w:line="252" w:lineRule="auto"/>
      </w:pPr>
      <w:r>
        <w:rPr>
          <w:color w:val="000000"/>
          <w:sz w:val="20"/>
        </w:rPr>
        <w:t>Shared relief remains visible through operator and handoff records without individual variance fabrication.</w:t>
      </w:r>
    </w:p>
    <w:p>
      <w:pPr>
        <w:pStyle w:val="ListBullet"/>
        <w:spacing w:after="60" w:line="252" w:lineRule="auto"/>
      </w:pPr>
      <w:r>
        <w:rPr>
          <w:color w:val="000000"/>
          <w:sz w:val="20"/>
        </w:rPr>
        <w:t>The corrected values are identical in the visible table, print view, CSV export and API payload.</w:t>
      </w:r>
    </w:p>
    <w:p>
      <w:pPr>
        <w:pStyle w:val="ListBullet"/>
        <w:spacing w:after="60" w:line="252" w:lineRule="auto"/>
      </w:pPr>
      <w:r>
        <w:rPr>
          <w:color w:val="000000"/>
          <w:sz w:val="20"/>
        </w:rPr>
        <w:t>Tenant, branch, terminal, cashier, date and permission boundaries remain failure-closed.</w:t>
      </w:r>
    </w:p>
    <w:p>
      <w:pPr>
        <w:pStyle w:val="Heading1"/>
        <w:keepNext/>
      </w:pPr>
      <w:r>
        <w:rPr>
          <w:b/>
          <w:color w:val="000000"/>
          <w:sz w:val="30"/>
        </w:rPr>
        <w:t>Open Assumptions</w:t>
      </w:r>
    </w:p>
    <w:p>
      <w:pPr>
        <w:pStyle w:val="ListBullet"/>
        <w:spacing w:after="60" w:line="252" w:lineRule="auto"/>
      </w:pPr>
      <w:r>
        <w:rPr>
          <w:color w:val="000000"/>
          <w:sz w:val="20"/>
        </w:rPr>
        <w:t>The screenshot is a real rendered report response, not a design mockup; the exact staging shift records still require a read-only data audit during implementation.</w:t>
      </w:r>
    </w:p>
    <w:p>
      <w:pPr>
        <w:pStyle w:val="ListBullet"/>
        <w:spacing w:after="60" w:line="252" w:lineRule="auto"/>
      </w:pPr>
      <w:r>
        <w:rPr>
          <w:color w:val="000000"/>
          <w:sz w:val="20"/>
        </w:rPr>
        <w:t>The existing expected_cash_amount is the shift-close snapshot when present; otherwise the current derived opening float plus events plus cash sales formula remains the fallback.</w:t>
      </w:r>
    </w:p>
    <w:p>
      <w:pPr>
        <w:pStyle w:val="ListBullet"/>
        <w:spacing w:after="60" w:line="252" w:lineRule="auto"/>
      </w:pPr>
      <w:r>
        <w:rPr>
          <w:color w:val="000000"/>
          <w:sz w:val="20"/>
        </w:rPr>
        <w:t>No schema change is needed because the defect is in read-time row grain and variance selection. A migration is allowed only after a separate evidence-based decision.</w:t>
      </w:r>
    </w:p>
    <w:p>
      <w:pPr>
        <w:pStyle w:val="ListBullet"/>
        <w:spacing w:after="60" w:line="252" w:lineRule="auto"/>
      </w:pPr>
      <w:r>
        <w:rPr>
          <w:color w:val="000000"/>
          <w:sz w:val="20"/>
        </w:rPr>
        <w:t>The existing request to remove Actions from report tables remains in force; this plan does not reintroduce an Actions column.</w:t>
      </w:r>
    </w:p>
    <w:p>
      <w:pPr>
        <w:pStyle w:val="Heading1"/>
        <w:keepNext/>
      </w:pPr>
      <w:r>
        <w:rPr>
          <w:b/>
          <w:color w:val="000000"/>
          <w:sz w:val="30"/>
        </w:rPr>
        <w:t>Important Warnings</w:t>
      </w:r>
    </w:p>
    <w:p>
      <w:pPr>
        <w:pStyle w:val="ListBullet"/>
        <w:spacing w:after="60" w:line="252" w:lineRule="auto"/>
      </w:pPr>
      <w:r>
        <w:rPr>
          <w:color w:val="000000"/>
          <w:sz w:val="20"/>
        </w:rPr>
        <w:t>Do not fix this by changing only the React status label. The backend response must satisfy the financial invariant first.</w:t>
      </w:r>
    </w:p>
    <w:p>
      <w:pPr>
        <w:pStyle w:val="ListBullet"/>
        <w:spacing w:after="60" w:line="252" w:lineRule="auto"/>
      </w:pPr>
      <w:r>
        <w:rPr>
          <w:color w:val="000000"/>
          <w:sz w:val="20"/>
        </w:rPr>
        <w:t>Do not sum persisted cash_variance_amount values across a cashier group and present the result as one register shift.</w:t>
      </w:r>
    </w:p>
    <w:p>
      <w:pPr>
        <w:pStyle w:val="ListBullet"/>
        <w:spacing w:after="60" w:line="252" w:lineRule="auto"/>
      </w:pPr>
      <w:r>
        <w:rPr>
          <w:color w:val="000000"/>
          <w:sz w:val="20"/>
        </w:rPr>
        <w:t>Do not update historical shift rows automatically as part of this report fix.</w:t>
      </w:r>
    </w:p>
    <w:p>
      <w:pPr>
        <w:pStyle w:val="ListBullet"/>
        <w:spacing w:after="60" w:line="252" w:lineRule="auto"/>
      </w:pPr>
      <w:r>
        <w:rPr>
          <w:color w:val="000000"/>
          <w:sz w:val="20"/>
        </w:rPr>
        <w:t>Do not mark global Phase 347 complete or start global Phase 348 implementation from this planning artifact.</w:t>
      </w:r>
    </w:p>
    <w:p>
      <w:pPr>
        <w:pStyle w:val="Heading1"/>
        <w:keepNext/>
      </w:pPr>
      <w:r>
        <w:rPr>
          <w:b/>
          <w:color w:val="000000"/>
          <w:sz w:val="30"/>
        </w:rPr>
        <w:t>Risks</w:t>
      </w:r>
    </w:p>
    <w:p>
      <w:pPr>
        <w:pStyle w:val="ListBullet"/>
        <w:spacing w:after="60" w:line="252" w:lineRule="auto"/>
      </w:pPr>
      <w:r>
        <w:rPr>
          <w:color w:val="000000"/>
          <w:sz w:val="20"/>
        </w:rPr>
        <w:t>Financial reports can remain misleading if the backend row grain and variance source are not changed together.</w:t>
      </w:r>
    </w:p>
    <w:p>
      <w:pPr>
        <w:pStyle w:val="ListBullet"/>
        <w:spacing w:after="60" w:line="252" w:lineRule="auto"/>
      </w:pPr>
      <w:r>
        <w:rPr>
          <w:color w:val="000000"/>
          <w:sz w:val="20"/>
        </w:rPr>
        <w:t>A response-shape change can affect export and cached frontend consumers.</w:t>
      </w:r>
    </w:p>
    <w:p>
      <w:pPr>
        <w:pStyle w:val="Heading1"/>
        <w:keepNext/>
      </w:pPr>
      <w:r>
        <w:rPr>
          <w:b/>
          <w:color w:val="000000"/>
          <w:sz w:val="30"/>
        </w:rPr>
        <w:t>Tests Required</w:t>
      </w:r>
    </w:p>
    <w:p>
      <w:pPr>
        <w:pStyle w:val="ListBullet"/>
        <w:spacing w:after="60" w:line="252" w:lineRule="auto"/>
      </w:pPr>
      <w:r>
        <w:rPr>
          <w:color w:val="000000"/>
          <w:sz w:val="20"/>
        </w:rPr>
        <w:t>The section-specific test matrix in Section 05 is the release gate for this plan.</w:t>
      </w:r>
    </w:p>
    <w:p>
      <w:pPr>
        <w:pStyle w:val="ListBullet"/>
        <w:spacing w:after="60" w:line="252" w:lineRule="auto"/>
      </w:pPr>
      <w:r>
        <w:rPr>
          <w:color w:val="000000"/>
          <w:sz w:val="20"/>
        </w:rPr>
        <w:t>The screenshot arithmetic fixture and two-shift row-grain fixture are mandatory regressions.</w:t>
      </w:r>
    </w:p>
    <w:p>
      <w:pPr>
        <w:pStyle w:val="Heading1"/>
        <w:keepNext/>
      </w:pPr>
      <w:r>
        <w:rPr>
          <w:b/>
          <w:color w:val="000000"/>
          <w:sz w:val="30"/>
        </w:rPr>
        <w:t>Acceptance Criteria</w:t>
      </w:r>
    </w:p>
    <w:p>
      <w:pPr>
        <w:pStyle w:val="ListBullet"/>
        <w:spacing w:after="60" w:line="252" w:lineRule="auto"/>
      </w:pPr>
      <w:r>
        <w:rPr>
          <w:color w:val="000000"/>
          <w:sz w:val="20"/>
        </w:rPr>
        <w:t>The register response, visible table and CSV export all use one row per shift and consistent variance arithmetic.</w:t>
      </w:r>
    </w:p>
    <w:p>
      <w:pPr>
        <w:pStyle w:val="ListBullet"/>
        <w:spacing w:after="60" w:line="252" w:lineRule="auto"/>
      </w:pPr>
      <w:r>
        <w:rPr>
          <w:color w:val="000000"/>
          <w:sz w:val="20"/>
        </w:rPr>
        <w:t>Security, historical safety and rollback evidence are complete before release.</w:t>
      </w:r>
    </w:p>
    <w:p>
      <w:pPr>
        <w:pStyle w:val="Heading1"/>
        <w:keepNext/>
      </w:pPr>
      <w:r>
        <w:rPr>
          <w:b/>
          <w:color w:val="000000"/>
          <w:sz w:val="30"/>
        </w:rPr>
        <w:t>Execution Dependencies</w:t>
      </w:r>
    </w:p>
    <w:p>
      <w:pPr>
        <w:spacing w:after="120" w:line="259" w:lineRule="auto"/>
      </w:pPr>
      <w:r>
        <w:rPr>
          <w:color w:val="000000"/>
        </w:rPr>
        <w:t>Read this index first. Do not start implementation while global Phase 347 is in_progress unless the authoritative ledger has been reconciled by the responsible release process.</w:t>
      </w:r>
    </w:p>
    <w:p>
      <w:pPr>
        <w:pStyle w:val="Heading1"/>
        <w:keepNext/>
      </w:pPr>
      <w:r>
        <w:rPr>
          <w:b/>
          <w:color w:val="000000"/>
          <w:sz w:val="30"/>
        </w:rPr>
        <w:t>Cross References</w:t>
      </w:r>
    </w:p>
    <w:p>
      <w:pPr>
        <w:pStyle w:val="ListBullet"/>
        <w:spacing w:after="60" w:line="252" w:lineRule="auto"/>
      </w:pPr>
      <w:r>
        <w:rPr>
          <w:color w:val="000000"/>
          <w:sz w:val="20"/>
        </w:rPr>
        <w:t>Sections 01 through 06 in this directory.</w:t>
      </w:r>
    </w:p>
    <w:p>
      <w:pPr>
        <w:pStyle w:val="ListBullet"/>
        <w:spacing w:after="60" w:line="252" w:lineRule="auto"/>
      </w:pPr>
      <w:r>
        <w:rPr>
          <w:color w:val="000000"/>
          <w:sz w:val="20"/>
        </w:rPr>
        <w:t>docs/features/IMPLEMENTATION_PHASE_LEDGER.md and docs/ai/PR.md for execution and release controls.</w:t>
      </w:r>
    </w:p>
    <w:p>
      <w:pPr>
        <w:pStyle w:val="Heading1"/>
        <w:keepNext/>
      </w:pPr>
      <w:r>
        <w:rPr>
          <w:b/>
          <w:color w:val="000000"/>
          <w:sz w:val="30"/>
        </w:rPr>
        <w:t>Next Eligible Action</w:t>
      </w:r>
    </w:p>
    <w:p>
      <w:pPr>
        <w:spacing w:after="120" w:line="259" w:lineRule="auto"/>
      </w:pPr>
      <w:r>
        <w:rPr>
          <w:color w:val="000000"/>
        </w:rPr>
        <w:t>After Phase 347 is complete or its ownership is explicitly reconciled, execute RRF-01 by capturing the read-only staging response for the screenshot case and freezing the singular register-shift contract.</w:t>
      </w:r>
    </w:p>
    <w:sectPr w:rsidR="00FC693F" w:rsidRPr="0006063C" w:rsidSect="00034616">
      <w:headerReference w:type="default" r:id="rId9"/>
      <w:footerReference w:type="default" r:id="rId10"/>
      <w:pgSz w:w="12240" w:h="15840"/>
      <w:pgMar w:top="965"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000000"/>
        <w:sz w:val="16"/>
      </w:rPr>
      <w:t xml:space="preserve">POS Register Reconciliation Integrity Fix Plan | Section 00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DGFY POS Reports Analytics Expansion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737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00_Master_Plan_Index.docx</dc:title>
  <dc:subject>Repository-grounded implementation plan</dc:subject>
  <dc:creator>Codex</dc:creator>
  <cp:keywords/>
  <dc:description>Plan only. No application code or database changes are included.</dc:description>
  <cp:lastModifiedBy/>
  <cp:revision>1</cp:revision>
  <dcterms:created xsi:type="dcterms:W3CDTF">2013-12-23T23:15:00Z</dcterms:created>
  <dcterms:modified xsi:type="dcterms:W3CDTF">2013-12-23T23:15:00Z</dcterms:modified>
  <cp:category/>
</cp:coreProperties>
</file>