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Rollout Rollback and Risks</w:t>
      </w:r>
    </w:p>
    <w:p>
      <w:pPr>
        <w:spacing w:after="180"/>
      </w:pPr>
      <w:r>
        <w:rPr>
          <w:i/>
          <w:color w:val="505050"/>
          <w:sz w:val="21"/>
        </w:rPr>
        <w:t>Section 06 | Ordered delivery, release gates, monitoring, recovery and phase sequencing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5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Name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DGFY POS Reports Analytics Expansion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 Version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Number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06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Title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Implementation Rollout Rollback and Risks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Turn the approved plan into a controlled implementation and release sequence with explicit stop conditions.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Sections 01-05; phase ledger; release/PR policy; architecture governance and testing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Plan Content</w:t>
      </w:r>
    </w:p>
    <w:p>
      <w:r>
        <w:t>Implementation should proceed in small, reviewable batches. The sequence below keeps the backend contract ahead of the UI, proves invariants before staging, and preserves a straightforward rollback because the selected design is additive and read-only.</w:t>
      </w:r>
    </w:p>
    <w:p>
      <w:pPr>
        <w:pStyle w:val="Heading1"/>
      </w:pPr>
      <w:r>
        <w:t>Local Implementation Phases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61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Exact work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RPT-01 Contract freeze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Close open decisions, finalize IDs and response examples, confirm maximum range/pagination/category policy, reconcile phase ownership.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Requirements signed off; contract fixtures ready; no unresolved binding architecture conflict.</w:t>
            </w:r>
          </w:p>
        </w:tc>
      </w:tr>
      <w:tr>
        <w:tc>
          <w:tcPr>
            <w:tcW w:type="dxa" w:w="180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RPT-02 Backend</w:t>
            </w:r>
          </w:p>
        </w:tc>
        <w:tc>
          <w:tcPr>
            <w:tcW w:type="dxa" w:w="61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 validator/route/controller/usecase/repository breakdown path, export sections, tests and structured telemetry. Reuse normalized lines and scope helpers.</w:t>
            </w:r>
          </w:p>
        </w:tc>
        <w:tc>
          <w:tcPr>
            <w:tcW w:type="dxa" w:w="28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 tests, API contract tests, architecture check and static checks pass.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RPT-03 Frontend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 tabs, breakdown fetch state, tables, filters, pagination/sort, print/export, offline snapshot envelope and component tests.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Focused shared tests and affected builds pass; existing tabs regressions are green.</w:t>
            </w:r>
          </w:p>
        </w:tc>
      </w:tr>
      <w:tr>
        <w:tc>
          <w:tcPr>
            <w:tcW w:type="dxa" w:w="180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RPT-04 Integrated verification</w:t>
            </w:r>
          </w:p>
        </w:tc>
        <w:tc>
          <w:tcPr>
            <w:tcW w:type="dxa" w:w="61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reconciliation, authorization matrix, malformed-query tests, performance measurements, CSV fidelity and browser checks.</w:t>
            </w:r>
          </w:p>
        </w:tc>
        <w:tc>
          <w:tcPr>
            <w:tcW w:type="dxa" w:w="28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 verification matrix rows pass and evidence is tied to candidate SHA.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RPT-05 Staging UAT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Seed isolated staging data; execute desktop/mobile report journeys; collect screenshots, CSVs, console/network logs and performance artifact.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 acceptance and QA evidence complete; no open critical defect.</w:t>
            </w:r>
          </w:p>
        </w:tc>
      </w:tr>
      <w:tr>
        <w:tc>
          <w:tcPr>
            <w:tcW w:type="dxa" w:w="180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RPT-06 Rollout/closeout</w:t>
            </w:r>
          </w:p>
        </w:tc>
        <w:tc>
          <w:tcPr>
            <w:tcW w:type="dxa" w:w="61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Release through normal branch policy, monitor metrics, verify rollback readiness, record final evidence and update implementation/phase records after actual completion.</w:t>
            </w:r>
          </w:p>
        </w:tc>
        <w:tc>
          <w:tcPr>
            <w:tcW w:type="dxa" w:w="28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Release gates pass; monitoring window is clean; closeout record links code and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Release and Rollout Plan</w:t>
      </w:r>
    </w:p>
    <w:p>
      <w:pPr>
        <w:pStyle w:val="ListBullet"/>
      </w:pPr>
      <w:r>
        <w:t>Keep the change additive: existing overview, current tabs, permissions and export sections must work even if the new breakdown UI is disabled or rolled back.</w:t>
      </w:r>
    </w:p>
    <w:p>
      <w:pPr>
        <w:pStyle w:val="ListBullet"/>
      </w:pPr>
      <w:r>
        <w:t>Run all required checks on the candidate commit before staging. Do not treat a local green result as staging proof.</w:t>
      </w:r>
    </w:p>
    <w:p>
      <w:pPr>
        <w:pStyle w:val="ListBullet"/>
      </w:pPr>
      <w:r>
        <w:t>Deploy to staging first, execute the full UAT/evidence matrix, and inspect endpoint duration, query count, payload size, export failures and authorization denials.</w:t>
      </w:r>
    </w:p>
    <w:p>
      <w:pPr>
        <w:pStyle w:val="ListBullet"/>
      </w:pPr>
      <w:r>
        <w:t>Promote only through the repository’s current PR/release policy after the candidate SHA and evidence are reconciled. This plan does not authorize a merge, push or deployment.</w:t>
      </w:r>
    </w:p>
    <w:p>
      <w:pPr>
        <w:pStyle w:val="ListBullet"/>
      </w:pPr>
      <w:r>
        <w:t>During the observation window, compare breakdown totals with the existing overview for representative ranges and scopes.</w:t>
      </w:r>
    </w:p>
    <w:p>
      <w:pPr>
        <w:pStyle w:val="Heading1"/>
      </w:pPr>
      <w:r>
        <w:t>Monitoring and Stop Conditions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Action threshold / response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5xx or query failures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Stop rollout and investigate; no partial UI success is accepted.</w:t>
            </w:r>
          </w:p>
        </w:tc>
      </w:tr>
      <w:tr>
        <w:tc>
          <w:tcPr>
            <w:tcW w:type="dxa" w:w="302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Authorization failures</w:t>
            </w:r>
          </w:p>
        </w:tc>
        <w:tc>
          <w:tcPr>
            <w:tcW w:type="dxa" w:w="777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scope regression and tenant/branch fixtures; stop if failures are unexpected or any data leaks.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Slow p95 or high query count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Compare to baseline; disable new view or roll back if agreed budget is exceeded.</w:t>
            </w:r>
          </w:p>
        </w:tc>
      </w:tr>
      <w:tr>
        <w:tc>
          <w:tcPr>
            <w:tcW w:type="dxa" w:w="302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Large payload/export timeout</w:t>
            </w:r>
          </w:p>
        </w:tc>
        <w:tc>
          <w:tcPr>
            <w:tcW w:type="dxa" w:w="777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Reduce allowed range/limit or roll back before increasing infrastructure load.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Summary mismatch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Stop immediately; reconcile normalized line and distinct-order logic before further rollout.</w:t>
            </w:r>
          </w:p>
        </w:tc>
      </w:tr>
      <w:tr>
        <w:tc>
          <w:tcPr>
            <w:tcW w:type="dxa" w:w="302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Empty scope unexpectedly</w:t>
            </w:r>
          </w:p>
        </w:tc>
        <w:tc>
          <w:tcPr>
            <w:tcW w:type="dxa" w:w="777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location/cashier resolution and data seed; never broaden scope as a workaround.</w:t>
            </w:r>
          </w:p>
        </w:tc>
      </w:tr>
    </w:tbl>
    <w:p>
      <w:pPr>
        <w:spacing w:after="20"/>
      </w:pPr>
    </w:p>
    <w:p>
      <w:pPr>
        <w:pStyle w:val="Heading1"/>
      </w:pPr>
      <w:r>
        <w:t>Rollback Plan</w:t>
      </w:r>
    </w:p>
    <w:p>
      <w:pPr>
        <w:pStyle w:val="ListBullet"/>
      </w:pPr>
      <w:r>
        <w:t>Application rollback: revert the UI and endpoint commits or disable new report tabs through the normal release mechanism. Existing overview/export remain the fallback.</w:t>
      </w:r>
    </w:p>
    <w:p>
      <w:pPr>
        <w:pStyle w:val="ListBullet"/>
      </w:pPr>
      <w:r>
        <w:t>Data rollback: none expected because no persisted aggregate table or destructive migration is planned. If a performance index is later approved, its rollback must be a separately tested migration step.</w:t>
      </w:r>
    </w:p>
    <w:p>
      <w:pPr>
        <w:pStyle w:val="ListBullet"/>
      </w:pPr>
      <w:r>
        <w:t>Evidence rollback: retain failed candidate logs and screenshots; record the exact reverted SHA and reason. Do not delete evidence needed to explain a release decision.</w:t>
      </w:r>
    </w:p>
    <w:p>
      <w:pPr>
        <w:pStyle w:val="ListBullet"/>
      </w:pPr>
      <w:r>
        <w:t>After rollback, re-run existing overview, sales, export, authorization and no-mutation smoke tests to prove the baseline is intact.</w:t>
      </w:r>
    </w:p>
    <w:p>
      <w:pPr>
        <w:pStyle w:val="Heading1"/>
      </w:pPr>
      <w:r>
        <w:t>Phase Numbering and Documentation Warning</w:t>
      </w:r>
    </w:p>
    <w:p>
      <w:r>
        <w:t>The authoritative ledger docs/features/IMPLEMENTATION_PHASE_LEDGER.md currently ends at Phase 347, which remains in_progress, and says Phase 348 is eligible only after Phase 347 implementation, review, merge and deployed QA gates. A separate Implementation.md section names phases 348-350 for a device/location sequence but is not the authoritative ledger. This plan intentionally uses initiative-local RPT-01 through RPT-06 IDs. Before implementation starts, the owner/PM must reconcile the ledger and reserve the next valid global phase number; this plan does not overwrite or pre-claim Phase 348.</w:t>
      </w:r>
    </w:p>
    <w:p>
      <w:pPr>
        <w:pStyle w:val="Heading1"/>
      </w:pPr>
      <w:r>
        <w:t>Plan Consistency Audit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Requirement coverage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FR, BR, DATA, SEC, PERM, UI, REP, NFR, MIG and OPS IDs are mapped across backend, frontend and verification sections.</w:t>
            </w:r>
          </w:p>
        </w:tc>
      </w:tr>
      <w:tr>
        <w:tc>
          <w:tcPr>
            <w:tcW w:type="dxa" w:w="31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Architecture boundary</w:t>
            </w:r>
          </w:p>
        </w:tc>
        <w:tc>
          <w:tcPr>
            <w:tcW w:type="dxa" w:w="76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Selected path remains routes -&gt; controller -&gt; usecase -&gt; repository; reports remain read-side POS work.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Financial source of truth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Existing normalized line pipeline is reused; no parallel calculation source is introduced.</w:t>
            </w:r>
          </w:p>
        </w:tc>
      </w:tr>
      <w:tr>
        <w:tc>
          <w:tcPr>
            <w:tcW w:type="dxa" w:w="31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Historical data</w:t>
            </w:r>
          </w:p>
        </w:tc>
        <w:tc>
          <w:tcPr>
            <w:tcW w:type="dxa" w:w="76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rewrite or migration; snapshot item identity and live category semantics are explicit.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Tenant/location/cashier scope and allowlist validation are tested before UI acceptance.</w:t>
            </w:r>
          </w:p>
        </w:tc>
      </w:tr>
      <w:tr>
        <w:tc>
          <w:tcPr>
            <w:tcW w:type="dxa" w:w="31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Rollback</w:t>
            </w:r>
          </w:p>
        </w:tc>
        <w:tc>
          <w:tcPr>
            <w:tcW w:type="dxa" w:w="76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Additive code and no migration provide a reversible release; any future index is separately gated.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Documentation freshness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Required authoritative and domain docs were read; final implementation must re-check freshness at execution time.</w:t>
            </w:r>
          </w:p>
        </w:tc>
      </w:tr>
      <w:tr>
        <w:tc>
          <w:tcPr>
            <w:tcW w:type="dxa" w:w="31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continuity</w:t>
            </w:r>
          </w:p>
        </w:tc>
        <w:tc>
          <w:tcPr>
            <w:tcW w:type="dxa" w:w="76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Global number is intentionally unresolved until Phase 347/348 ledger conflict is reconciled.</w:t>
            </w:r>
          </w:p>
        </w:tc>
      </w:tr>
    </w:tbl>
    <w:p>
      <w:pPr>
        <w:spacing w:after="20"/>
      </w:pPr>
    </w:p>
    <w:p>
      <w:pPr>
        <w:pStyle w:val="Heading1"/>
      </w:pPr>
      <w:r>
        <w:t>Confirmed Facts</w:t>
      </w:r>
    </w:p>
    <w:p>
      <w:pPr>
        <w:pStyle w:val="ListBullet"/>
      </w:pPr>
      <w:r>
        <w:t>The feature can be delivered as an additive read-only capability.</w:t>
      </w:r>
    </w:p>
    <w:p>
      <w:pPr>
        <w:pStyle w:val="ListBullet"/>
      </w:pPr>
      <w:r>
        <w:t>Existing release and PR controls remain authoritative for any later implementation.</w:t>
      </w:r>
    </w:p>
    <w:p>
      <w:pPr>
        <w:pStyle w:val="ListBullet"/>
      </w:pPr>
      <w:r>
        <w:t>The rollback path does not require deleting user data.</w:t>
      </w:r>
    </w:p>
    <w:p>
      <w:pPr>
        <w:pStyle w:val="Heading1"/>
      </w:pPr>
      <w:r>
        <w:t>Assumptions</w:t>
      </w:r>
    </w:p>
    <w:p>
      <w:pPr>
        <w:pStyle w:val="ListBullet"/>
      </w:pPr>
      <w:r>
        <w:t>Staging can support an isolated, representative report dataset.</w:t>
      </w:r>
    </w:p>
    <w:p>
      <w:pPr>
        <w:pStyle w:val="ListBullet"/>
      </w:pPr>
      <w:r>
        <w:t>A normal application revert is sufficient if no performance migration is added.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OPS-REP-001</w:t>
      </w:r>
    </w:p>
    <w:p>
      <w:pPr>
        <w:pStyle w:val="ListBullet"/>
      </w:pPr>
      <w:r>
        <w:t>OPS-REP-002</w:t>
      </w:r>
    </w:p>
    <w:p>
      <w:pPr>
        <w:pStyle w:val="ListBullet"/>
      </w:pPr>
      <w:r>
        <w:t>OPS-REP-003</w:t>
      </w:r>
    </w:p>
    <w:p>
      <w:pPr>
        <w:pStyle w:val="ListBullet"/>
      </w:pPr>
      <w:r>
        <w:t>NFR-REP-001 to 004</w:t>
      </w:r>
    </w:p>
    <w:p>
      <w:pPr>
        <w:pStyle w:val="ListBullet"/>
      </w:pPr>
      <w:r>
        <w:t>All master acceptance criteria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apps/dgfy-api and packages/web-core implementation batches</w:t>
      </w:r>
    </w:p>
    <w:p>
      <w:pPr>
        <w:pStyle w:val="ListBullet"/>
      </w:pPr>
      <w:r>
        <w:t>staging environment and evidence storage</w:t>
      </w:r>
    </w:p>
    <w:p>
      <w:pPr>
        <w:pStyle w:val="ListBullet"/>
      </w:pPr>
      <w:r>
        <w:t>phase ledger and release records</w:t>
      </w:r>
    </w:p>
    <w:p>
      <w:pPr>
        <w:pStyle w:val="Heading1"/>
      </w:pPr>
      <w:r>
        <w:t>Risks</w:t>
      </w:r>
    </w:p>
    <w:p>
      <w:pPr>
        <w:pStyle w:val="ListBullet"/>
      </w:pPr>
      <w:r>
        <w:t>Rollout continues despite summary mismatch or scope leakage.</w:t>
      </w:r>
    </w:p>
    <w:p>
      <w:pPr>
        <w:pStyle w:val="ListBullet"/>
      </w:pPr>
      <w:r>
        <w:t>Phase numbering is assigned without reconciling the authoritative ledger.</w:t>
      </w:r>
    </w:p>
    <w:p>
      <w:pPr>
        <w:pStyle w:val="ListBullet"/>
      </w:pPr>
      <w:r>
        <w:t>A future index migration is bundled without measured query evidence.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Candidate gate logs</w:t>
      </w:r>
    </w:p>
    <w:p>
      <w:pPr>
        <w:pStyle w:val="ListBullet"/>
      </w:pPr>
      <w:r>
        <w:t>Staging UAT evidence</w:t>
      </w:r>
    </w:p>
    <w:p>
      <w:pPr>
        <w:pStyle w:val="ListBullet"/>
      </w:pPr>
      <w:r>
        <w:t>Monitoring snapshot</w:t>
      </w:r>
    </w:p>
    <w:p>
      <w:pPr>
        <w:pStyle w:val="ListBullet"/>
      </w:pPr>
      <w:r>
        <w:t>Rollback smoke test</w:t>
      </w:r>
    </w:p>
    <w:p>
      <w:pPr>
        <w:pStyle w:val="ListBullet"/>
      </w:pPr>
      <w:r>
        <w:t>Final plan/ledger update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Release is additive and observable.</w:t>
      </w:r>
    </w:p>
    <w:p>
      <w:pPr>
        <w:pStyle w:val="ListBullet"/>
      </w:pPr>
      <w:r>
        <w:t>Rollback restores the prior report behavior.</w:t>
      </w:r>
    </w:p>
    <w:p>
      <w:pPr>
        <w:pStyle w:val="ListBullet"/>
      </w:pPr>
      <w:r>
        <w:t>Phase status is not marked completed until acceptance evidence exists.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RPT-06 is eligible only after RPT-04 and RPT-05.</w:t>
      </w:r>
    </w:p>
    <w:p>
      <w:pPr>
        <w:pStyle w:val="ListBullet"/>
      </w:pPr>
      <w:r>
        <w:t>No code, commit, PR, issue or deployment is created by this plan.</w:t>
      </w:r>
    </w:p>
    <w:p>
      <w:pPr>
        <w:pStyle w:val="ListBullet"/>
      </w:pPr>
      <w:r>
        <w:t>A future implementer must preserve the dirty-worktree safety rule.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docs/features/IMPLEMENTATION_PHASE_LEDGER.md</w:t>
      </w:r>
    </w:p>
    <w:p>
      <w:pPr>
        <w:pStyle w:val="ListBullet"/>
      </w:pPr>
      <w:r>
        <w:t>docs/ai/PR.md</w:t>
      </w:r>
    </w:p>
    <w:p>
      <w:pPr>
        <w:pStyle w:val="ListBullet"/>
      </w:pPr>
      <w:r>
        <w:t>docs/architecture/ARCHITECTURE_GOVERNANCE.md</w:t>
      </w:r>
    </w:p>
    <w:p>
      <w:pPr>
        <w:pStyle w:val="ListBullet"/>
      </w:pPr>
      <w:r>
        <w:t>docs/ops/RELEASE_CANDIDATE_POLICY.md</w:t>
      </w:r>
    </w:p>
    <w:p>
      <w:pPr>
        <w:pStyle w:val="ListBullet"/>
      </w:pPr>
      <w:r>
        <w:t>docs/testing/README.md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Page </w:t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06_Implementation_Rollout_Rollback_and_Risks.docx</dc:title>
  <dc:subject>Repository-grounded implementation plan</dc:subject>
  <dc:creator>Codex</dc:creator>
  <cp:keywords/>
  <dc:description>Plan only. No application code or database changes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