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rFonts w:ascii="Arial" w:hAnsi="Arial"/>
          <w:b/>
          <w:color w:val="000000"/>
          <w:sz w:val="32"/>
        </w:rPr>
        <w:t>EXECUTION REPORT</w:t>
        <w:br/>
        <w:t>SECTION 04 — FISCAL DOCUMENTS, ADJUSTMENTS, AND READINGS</w:t>
      </w:r>
    </w:p>
    <w:p>
      <w:pPr>
        <w:spacing w:after="240"/>
        <w:jc w:val="center"/>
      </w:pPr>
      <w:r>
        <w:rPr>
          <w:rFonts w:ascii="Arial" w:hAnsi="Arial"/>
          <w:color w:val="595959"/>
          <w:sz w:val="20"/>
        </w:rPr>
        <w:t>Annex B Items 4–14 readiness plan • Local execution • 03 October 2026</w:t>
      </w:r>
    </w:p>
    <w:tbl>
      <w:tblPr>
        <w:tblStyle w:val="TableGrid"/>
        <w:tblW w:type="auto" w:w="0"/>
        <w:tblLayout w:type="autofit"/>
        <w:tblLook w:firstColumn="1" w:firstRow="1" w:lastColumn="0" w:lastRow="0" w:noHBand="0" w:noVBand="1" w:val="04A0"/>
      </w:tblPr>
      <w:tblGrid>
        <w:gridCol w:w="3408"/>
        <w:gridCol w:w="3408"/>
        <w:gridCol w:w="3408"/>
      </w:tblGrid>
      <w:tr>
        <w:trPr>
          <w:tblHeader/>
        </w:trPr>
        <w:tc>
          <w:tcPr>
            <w:tcW w:type="dxa" w:w="2376"/>
            <w:vAlign w:val="center"/>
            <w:shd w:fill="1F4E79"/>
          </w:tcPr>
          <w:p>
            <w:pPr>
              <w:spacing w:after="0"/>
            </w:pPr>
            <w:r/>
            <w:r>
              <w:rPr>
                <w:rFonts w:ascii="Arial" w:hAnsi="Arial"/>
                <w:b/>
                <w:color w:val="FFFFFF"/>
                <w:sz w:val="16"/>
              </w:rPr>
              <w:t>Execution state</w:t>
            </w:r>
          </w:p>
        </w:tc>
        <w:tc>
          <w:tcPr>
            <w:tcW w:type="dxa" w:w="3456"/>
            <w:vAlign w:val="center"/>
            <w:shd w:fill="1F4E79"/>
          </w:tcPr>
          <w:p>
            <w:pPr>
              <w:spacing w:after="0"/>
            </w:pPr>
            <w:r/>
            <w:r>
              <w:rPr>
                <w:rFonts w:ascii="Arial" w:hAnsi="Arial"/>
                <w:b/>
                <w:color w:val="FFFFFF"/>
                <w:sz w:val="16"/>
              </w:rPr>
              <w:t>Scope</w:t>
            </w:r>
          </w:p>
        </w:tc>
        <w:tc>
          <w:tcPr>
            <w:tcW w:type="dxa" w:w="3528"/>
            <w:vAlign w:val="center"/>
            <w:shd w:fill="1F4E79"/>
          </w:tcPr>
          <w:p>
            <w:pPr>
              <w:spacing w:after="0"/>
            </w:pPr>
            <w:r/>
            <w:r>
              <w:rPr>
                <w:rFonts w:ascii="Arial" w:hAnsi="Arial"/>
                <w:b/>
                <w:color w:val="FFFFFF"/>
                <w:sz w:val="16"/>
              </w:rPr>
              <w:t>External status</w:t>
            </w:r>
          </w:p>
        </w:tc>
      </w:tr>
      <w:tr>
        <w:tc>
          <w:tcPr>
            <w:tcW w:type="dxa" w:w="2376"/>
            <w:vAlign w:val="center"/>
          </w:tcPr>
          <w:p>
            <w:pPr>
              <w:spacing w:after="0"/>
            </w:pPr>
            <w:r/>
            <w:r>
              <w:rPr>
                <w:rFonts w:ascii="Arial" w:hAnsi="Arial"/>
                <w:b w:val="0"/>
                <w:color w:val="000000"/>
                <w:sz w:val="16"/>
              </w:rPr>
              <w:t>LOCAL RUNTIME VERIFIED</w:t>
            </w:r>
          </w:p>
        </w:tc>
        <w:tc>
          <w:tcPr>
            <w:tcW w:type="dxa" w:w="3456"/>
            <w:vAlign w:val="center"/>
          </w:tcPr>
          <w:p>
            <w:pPr>
              <w:spacing w:after="0"/>
            </w:pPr>
            <w:r/>
            <w:r>
              <w:rPr>
                <w:rFonts w:ascii="Arial" w:hAnsi="Arial"/>
                <w:b w:val="0"/>
                <w:color w:val="000000"/>
                <w:sz w:val="16"/>
              </w:rPr>
              <w:t>Items 4, 5, and 6; phases 354–356</w:t>
            </w:r>
          </w:p>
        </w:tc>
        <w:tc>
          <w:tcPr>
            <w:tcW w:type="dxa" w:w="3528"/>
            <w:vAlign w:val="center"/>
          </w:tcPr>
          <w:p>
            <w:pPr>
              <w:spacing w:after="0"/>
            </w:pPr>
            <w:r/>
            <w:r>
              <w:rPr>
                <w:rFonts w:ascii="Arial" w:hAnsi="Arial"/>
                <w:b w:val="0"/>
                <w:color w:val="000000"/>
                <w:sz w:val="16"/>
              </w:rPr>
              <w:t>REVIEW REQUIRED — no BIR/provider approval claimed</w:t>
            </w:r>
          </w:p>
        </w:tc>
      </w:tr>
    </w:tbl>
    <w:p>
      <w:pPr>
        <w:spacing w:after="0"/>
      </w:pPr>
    </w:p>
    <w:p>
      <w:pPr>
        <w:pStyle w:val="Heading1"/>
        <w:keepNext/>
      </w:pPr>
      <w:r>
        <w:rPr>
          <w:color w:val="000000"/>
        </w:rPr>
        <w:t>1. Objective and decision boundary</w:t>
      </w:r>
    </w:p>
    <w:p>
      <w:r>
        <w:t>Execute the approved 04_Fiscal_Documents_Adjustments_and_Readings plan against the local POS-DGFY codebase. The execution target is evidence-backed internal readiness: server-owned fiscal documents, explicit adjustment records, and reconciled X/Z reading payloads. This report deliberately does not convert local verification into BIR approval, provider approval, or legal acceptance.</w:t>
      </w:r>
    </w:p>
    <w:p>
      <w:pPr>
        <w:pStyle w:val="ListBullet"/>
        <w:spacing w:after="40"/>
      </w:pPr>
      <w:r>
        <w:t>Environment used: local repository and local test harness only; staging and production were not used.</w:t>
      </w:r>
    </w:p>
    <w:p>
      <w:pPr>
        <w:pStyle w:val="ListBullet"/>
        <w:spacing w:after="40"/>
      </w:pPr>
      <w:r>
        <w:t>Fiscal time-zone contract: Asia/Manila.</w:t>
      </w:r>
    </w:p>
    <w:p>
      <w:pPr>
        <w:pStyle w:val="ListBullet"/>
        <w:spacing w:after="40"/>
      </w:pPr>
      <w:r>
        <w:t>Continuous phase sequence preserved: Phase 353 completed previously; this execution verifies phases 354, 355, and 356.</w:t>
      </w:r>
    </w:p>
    <w:p>
      <w:pPr>
        <w:pStyle w:val="ListBullet"/>
        <w:spacing w:after="40"/>
      </w:pPr>
      <w:r>
        <w:t>The authoritative machine-readable contract is docs/compliance/evidence/annex-b-items-4-14-section-04-evidence-contract-v1.json.</w:t>
      </w:r>
    </w:p>
    <w:p>
      <w:pPr>
        <w:pStyle w:val="Heading1"/>
        <w:keepNext/>
      </w:pPr>
      <w:r>
        <w:rPr>
          <w:color w:val="000000"/>
        </w:rPr>
        <w:t>2. Plan and authoritative references</w:t>
      </w:r>
    </w:p>
    <w:tbl>
      <w:tblPr>
        <w:tblStyle w:val="TableGrid"/>
        <w:tblW w:type="auto" w:w="0"/>
        <w:tblLayout w:type="autofit"/>
        <w:tblLook w:firstColumn="1" w:firstRow="1" w:lastColumn="0" w:lastRow="0" w:noHBand="0" w:noVBand="1" w:val="04A0"/>
      </w:tblPr>
      <w:tblGrid>
        <w:gridCol w:w="5112"/>
        <w:gridCol w:w="5112"/>
      </w:tblGrid>
      <w:tr>
        <w:trPr>
          <w:tblHeader/>
        </w:trPr>
        <w:tc>
          <w:tcPr>
            <w:tcW w:type="dxa" w:w="4608"/>
            <w:vAlign w:val="center"/>
            <w:shd w:fill="1F4E79"/>
          </w:tcPr>
          <w:p>
            <w:pPr>
              <w:spacing w:after="0"/>
            </w:pPr>
            <w:r/>
            <w:r>
              <w:rPr>
                <w:rFonts w:ascii="Arial" w:hAnsi="Arial"/>
                <w:b/>
                <w:color w:val="FFFFFF"/>
                <w:sz w:val="16"/>
              </w:rPr>
              <w:t>Reference</w:t>
            </w:r>
          </w:p>
        </w:tc>
        <w:tc>
          <w:tcPr>
            <w:tcW w:type="dxa" w:w="4752"/>
            <w:vAlign w:val="center"/>
            <w:shd w:fill="1F4E79"/>
          </w:tcPr>
          <w:p>
            <w:pPr>
              <w:spacing w:after="0"/>
            </w:pPr>
            <w:r/>
            <w:r>
              <w:rPr>
                <w:rFonts w:ascii="Arial" w:hAnsi="Arial"/>
                <w:b/>
                <w:color w:val="FFFFFF"/>
                <w:sz w:val="16"/>
              </w:rPr>
              <w:t>Use in this execution</w:t>
            </w:r>
          </w:p>
        </w:tc>
      </w:tr>
      <w:tr>
        <w:tc>
          <w:tcPr>
            <w:tcW w:type="dxa" w:w="4608"/>
            <w:vAlign w:val="center"/>
          </w:tcPr>
          <w:p>
            <w:pPr>
              <w:spacing w:after="0"/>
            </w:pPr>
            <w:r/>
            <w:r>
              <w:rPr>
                <w:rFonts w:ascii="Arial" w:hAnsi="Arial"/>
                <w:b w:val="0"/>
                <w:color w:val="000000"/>
                <w:sz w:val="16"/>
              </w:rPr>
              <w:t>04_Fiscal_Documents_Adjustments_and_Readings.docx</w:t>
            </w:r>
          </w:p>
        </w:tc>
        <w:tc>
          <w:tcPr>
            <w:tcW w:type="dxa" w:w="4752"/>
            <w:vAlign w:val="center"/>
          </w:tcPr>
          <w:p>
            <w:pPr>
              <w:spacing w:after="0"/>
            </w:pPr>
            <w:r/>
            <w:r>
              <w:rPr>
                <w:rFonts w:ascii="Arial" w:hAnsi="Arial"/>
                <w:b w:val="0"/>
                <w:color w:val="000000"/>
                <w:sz w:val="16"/>
              </w:rPr>
              <w:t>Approved Section 04 scope, requirements, tests, acceptance gates</w:t>
            </w:r>
          </w:p>
        </w:tc>
      </w:tr>
      <w:tr>
        <w:tc>
          <w:tcPr>
            <w:tcW w:type="dxa" w:w="4608"/>
            <w:vAlign w:val="center"/>
          </w:tcPr>
          <w:p>
            <w:pPr>
              <w:spacing w:after="0"/>
            </w:pPr>
            <w:r/>
            <w:r>
              <w:rPr>
                <w:rFonts w:ascii="Arial" w:hAnsi="Arial"/>
                <w:b w:val="0"/>
                <w:color w:val="000000"/>
                <w:sz w:val="16"/>
              </w:rPr>
              <w:t>annex-b-return-readiness-contract-v0.1.md</w:t>
            </w:r>
          </w:p>
        </w:tc>
        <w:tc>
          <w:tcPr>
            <w:tcW w:type="dxa" w:w="4752"/>
            <w:vAlign w:val="center"/>
          </w:tcPr>
          <w:p>
            <w:pPr>
              <w:spacing w:after="0"/>
            </w:pPr>
            <w:r/>
            <w:r>
              <w:rPr>
                <w:rFonts w:ascii="Arial" w:hAnsi="Arial"/>
                <w:b w:val="0"/>
                <w:color w:val="000000"/>
                <w:sz w:val="16"/>
              </w:rPr>
              <w:t>Return is distinct from void/refund; original is immutable; refund/inventory actions are separate</w:t>
            </w:r>
          </w:p>
        </w:tc>
      </w:tr>
      <w:tr>
        <w:tc>
          <w:tcPr>
            <w:tcW w:type="dxa" w:w="4608"/>
            <w:vAlign w:val="center"/>
          </w:tcPr>
          <w:p>
            <w:pPr>
              <w:spacing w:after="0"/>
            </w:pPr>
            <w:r/>
            <w:r>
              <w:rPr>
                <w:rFonts w:ascii="Arial" w:hAnsi="Arial"/>
                <w:b w:val="0"/>
                <w:color w:val="000000"/>
                <w:sz w:val="16"/>
              </w:rPr>
              <w:t>IMPLEMENTATION_PHASE_LEDGER.md</w:t>
            </w:r>
          </w:p>
        </w:tc>
        <w:tc>
          <w:tcPr>
            <w:tcW w:type="dxa" w:w="4752"/>
            <w:vAlign w:val="center"/>
          </w:tcPr>
          <w:p>
            <w:pPr>
              <w:spacing w:after="0"/>
            </w:pPr>
            <w:r/>
            <w:r>
              <w:rPr>
                <w:rFonts w:ascii="Arial" w:hAnsi="Arial"/>
                <w:b w:val="0"/>
                <w:color w:val="000000"/>
                <w:sz w:val="16"/>
              </w:rPr>
              <w:t>Continuous phase numbering and completion evidence</w:t>
            </w:r>
          </w:p>
        </w:tc>
      </w:tr>
      <w:tr>
        <w:tc>
          <w:tcPr>
            <w:tcW w:type="dxa" w:w="4608"/>
            <w:vAlign w:val="center"/>
          </w:tcPr>
          <w:p>
            <w:pPr>
              <w:spacing w:after="0"/>
            </w:pPr>
            <w:r/>
            <w:r>
              <w:rPr>
                <w:rFonts w:ascii="Arial" w:hAnsi="Arial"/>
                <w:b w:val="0"/>
                <w:color w:val="000000"/>
                <w:sz w:val="16"/>
              </w:rPr>
              <w:t>fiscalEvidenceContract.js</w:t>
            </w:r>
          </w:p>
        </w:tc>
        <w:tc>
          <w:tcPr>
            <w:tcW w:type="dxa" w:w="4752"/>
            <w:vAlign w:val="center"/>
          </w:tcPr>
          <w:p>
            <w:pPr>
              <w:spacing w:after="0"/>
            </w:pPr>
            <w:r/>
            <w:r>
              <w:rPr>
                <w:rFonts w:ascii="Arial" w:hAnsi="Arial"/>
                <w:b w:val="0"/>
                <w:color w:val="000000"/>
                <w:sz w:val="16"/>
              </w:rPr>
              <w:t>Snapshot validation, renderer contract, adjustment evidence, reading hashes</w:t>
            </w:r>
          </w:p>
        </w:tc>
      </w:tr>
      <w:tr>
        <w:tc>
          <w:tcPr>
            <w:tcW w:type="dxa" w:w="4608"/>
            <w:vAlign w:val="center"/>
          </w:tcPr>
          <w:p>
            <w:pPr>
              <w:spacing w:after="0"/>
            </w:pPr>
            <w:r/>
            <w:r>
              <w:rPr>
                <w:rFonts w:ascii="Arial" w:hAnsi="Arial"/>
                <w:b w:val="0"/>
                <w:color w:val="000000"/>
                <w:sz w:val="16"/>
              </w:rPr>
              <w:t>section-04-fixture-manifest-v1.json</w:t>
            </w:r>
          </w:p>
        </w:tc>
        <w:tc>
          <w:tcPr>
            <w:tcW w:type="dxa" w:w="4752"/>
            <w:vAlign w:val="center"/>
          </w:tcPr>
          <w:p>
            <w:pPr>
              <w:spacing w:after="0"/>
            </w:pPr>
            <w:r/>
            <w:r>
              <w:rPr>
                <w:rFonts w:ascii="Arial" w:hAnsi="Arial"/>
                <w:b w:val="0"/>
                <w:color w:val="000000"/>
                <w:sz w:val="16"/>
              </w:rPr>
              <w:t>Deterministic local fixture IDs and explicit review-required cases</w:t>
            </w:r>
          </w:p>
        </w:tc>
      </w:tr>
    </w:tbl>
    <w:p>
      <w:pPr>
        <w:spacing w:after="0"/>
      </w:pPr>
    </w:p>
    <w:p>
      <w:pPr>
        <w:pStyle w:val="Heading1"/>
        <w:keepNext/>
      </w:pPr>
      <w:r>
        <w:rPr>
          <w:color w:val="000000"/>
        </w:rPr>
        <w:t>3. Implemented change set</w:t>
      </w:r>
    </w:p>
    <w:tbl>
      <w:tblPr>
        <w:tblStyle w:val="TableGrid"/>
        <w:tblW w:type="auto" w:w="0"/>
        <w:tblLayout w:type="autofit"/>
        <w:tblLook w:firstColumn="1" w:firstRow="1" w:lastColumn="0" w:lastRow="0" w:noHBand="0" w:noVBand="1" w:val="04A0"/>
      </w:tblPr>
      <w:tblGrid>
        <w:gridCol w:w="5112"/>
        <w:gridCol w:w="5112"/>
      </w:tblGrid>
      <w:tr>
        <w:trPr>
          <w:tblHeader/>
        </w:trPr>
        <w:tc>
          <w:tcPr>
            <w:tcW w:type="dxa" w:w="2448"/>
            <w:vAlign w:val="center"/>
            <w:shd w:fill="1F4E79"/>
          </w:tcPr>
          <w:p>
            <w:pPr>
              <w:spacing w:after="0"/>
            </w:pPr>
            <w:r/>
            <w:r>
              <w:rPr>
                <w:rFonts w:ascii="Arial" w:hAnsi="Arial"/>
                <w:b/>
                <w:color w:val="FFFFFF"/>
                <w:sz w:val="16"/>
              </w:rPr>
              <w:t>Surface</w:t>
            </w:r>
          </w:p>
        </w:tc>
        <w:tc>
          <w:tcPr>
            <w:tcW w:type="dxa" w:w="6912"/>
            <w:vAlign w:val="center"/>
            <w:shd w:fill="1F4E79"/>
          </w:tcPr>
          <w:p>
            <w:pPr>
              <w:spacing w:after="0"/>
            </w:pPr>
            <w:r/>
            <w:r>
              <w:rPr>
                <w:rFonts w:ascii="Arial" w:hAnsi="Arial"/>
                <w:b/>
                <w:color w:val="FFFFFF"/>
                <w:sz w:val="16"/>
              </w:rPr>
              <w:t>Implementation result</w:t>
            </w:r>
          </w:p>
        </w:tc>
      </w:tr>
      <w:tr>
        <w:tc>
          <w:tcPr>
            <w:tcW w:type="dxa" w:w="2448"/>
            <w:vAlign w:val="center"/>
          </w:tcPr>
          <w:p>
            <w:pPr>
              <w:spacing w:after="0"/>
            </w:pPr>
            <w:r/>
            <w:r>
              <w:rPr>
                <w:rFonts w:ascii="Arial" w:hAnsi="Arial"/>
                <w:b w:val="0"/>
                <w:color w:val="000000"/>
                <w:sz w:val="16"/>
              </w:rPr>
              <w:t>Fiscal snapshot contract</w:t>
            </w:r>
          </w:p>
        </w:tc>
        <w:tc>
          <w:tcPr>
            <w:tcW w:type="dxa" w:w="6912"/>
            <w:vAlign w:val="center"/>
          </w:tcPr>
          <w:p>
            <w:pPr>
              <w:spacing w:after="0"/>
            </w:pPr>
            <w:r/>
            <w:r>
              <w:rPr>
                <w:rFonts w:ascii="Arial" w:hAnsi="Arial"/>
                <w:b w:val="0"/>
                <w:color w:val="000000"/>
                <w:sz w:val="16"/>
              </w:rPr>
              <w:t>Checkout captures issue time, seller, terminal, buyer, lines, taxes, discounts, charges, payment breakdown, and SHA-256 integrity. Print/reprint refuses missing or tampered fiscal snapshots.</w:t>
            </w:r>
          </w:p>
        </w:tc>
      </w:tr>
      <w:tr>
        <w:tc>
          <w:tcPr>
            <w:tcW w:type="dxa" w:w="2448"/>
            <w:vAlign w:val="center"/>
          </w:tcPr>
          <w:p>
            <w:pPr>
              <w:spacing w:after="0"/>
            </w:pPr>
            <w:r/>
            <w:r>
              <w:rPr>
                <w:rFonts w:ascii="Arial" w:hAnsi="Arial"/>
                <w:b w:val="0"/>
                <w:color w:val="000000"/>
                <w:sz w:val="16"/>
              </w:rPr>
              <w:t>Receipt projection</w:t>
            </w:r>
          </w:p>
        </w:tc>
        <w:tc>
          <w:tcPr>
            <w:tcW w:type="dxa" w:w="6912"/>
            <w:vAlign w:val="center"/>
          </w:tcPr>
          <w:p>
            <w:pPr>
              <w:spacing w:after="0"/>
            </w:pPr>
            <w:r/>
            <w:r>
              <w:rPr>
                <w:rFonts w:ascii="Arial" w:hAnsi="Arial"/>
                <w:b w:val="0"/>
                <w:color w:val="000000"/>
                <w:sz w:val="16"/>
              </w:rPr>
              <w:t>Existing ReceiptPrintView and shared receipt package remain the renderer contract for browser, 80 mm, and 57 mm projections.</w:t>
            </w:r>
          </w:p>
        </w:tc>
      </w:tr>
      <w:tr>
        <w:tc>
          <w:tcPr>
            <w:tcW w:type="dxa" w:w="2448"/>
            <w:vAlign w:val="center"/>
          </w:tcPr>
          <w:p>
            <w:pPr>
              <w:spacing w:after="0"/>
            </w:pPr>
            <w:r/>
            <w:r>
              <w:rPr>
                <w:rFonts w:ascii="Arial" w:hAnsi="Arial"/>
                <w:b w:val="0"/>
                <w:color w:val="000000"/>
                <w:sz w:val="16"/>
              </w:rPr>
              <w:t>Adjustment evidence</w:t>
            </w:r>
          </w:p>
        </w:tc>
        <w:tc>
          <w:tcPr>
            <w:tcW w:type="dxa" w:w="6912"/>
            <w:vAlign w:val="center"/>
          </w:tcPr>
          <w:p>
            <w:pPr>
              <w:spacing w:after="0"/>
            </w:pPr>
            <w:r/>
            <w:r>
              <w:rPr>
                <w:rFonts w:ascii="Arial" w:hAnsi="Arial"/>
                <w:b w:val="0"/>
                <w:color w:val="000000"/>
                <w:sz w:val="16"/>
              </w:rPr>
              <w:t>Transaction detail now exposes linked ADJUSTMENT evidence with explicit labels, original number/hash/date-time, actor, lines, and outcome references.</w:t>
            </w:r>
          </w:p>
        </w:tc>
      </w:tr>
      <w:tr>
        <w:tc>
          <w:tcPr>
            <w:tcW w:type="dxa" w:w="2448"/>
            <w:vAlign w:val="center"/>
          </w:tcPr>
          <w:p>
            <w:pPr>
              <w:spacing w:after="0"/>
            </w:pPr>
            <w:r/>
            <w:r>
              <w:rPr>
                <w:rFonts w:ascii="Arial" w:hAnsi="Arial"/>
                <w:b w:val="0"/>
                <w:color w:val="000000"/>
                <w:sz w:val="16"/>
              </w:rPr>
              <w:t>Return lifecycle</w:t>
            </w:r>
          </w:p>
        </w:tc>
        <w:tc>
          <w:tcPr>
            <w:tcW w:type="dxa" w:w="6912"/>
            <w:vAlign w:val="center"/>
          </w:tcPr>
          <w:p>
            <w:pPr>
              <w:spacing w:after="0"/>
            </w:pPr>
            <w:r/>
            <w:r>
              <w:rPr>
                <w:rFonts w:ascii="Arial" w:hAnsi="Arial"/>
                <w:b w:val="0"/>
                <w:color w:val="000000"/>
                <w:sz w:val="16"/>
              </w:rPr>
              <w:t>New local return endpoint/use case records append-only return evidence, idempotency, original snapshot linkage, audit event, and reversal fiscal event; it does not mutate the original or silently refund/reverse inventory.</w:t>
            </w:r>
          </w:p>
        </w:tc>
      </w:tr>
      <w:tr>
        <w:tc>
          <w:tcPr>
            <w:tcW w:type="dxa" w:w="2448"/>
            <w:vAlign w:val="center"/>
          </w:tcPr>
          <w:p>
            <w:pPr>
              <w:spacing w:after="0"/>
            </w:pPr>
            <w:r/>
            <w:r>
              <w:rPr>
                <w:rFonts w:ascii="Arial" w:hAnsi="Arial"/>
                <w:b w:val="0"/>
                <w:color w:val="000000"/>
                <w:sz w:val="16"/>
              </w:rPr>
              <w:t>X/Z readings</w:t>
            </w:r>
          </w:p>
        </w:tc>
        <w:tc>
          <w:tcPr>
            <w:tcW w:type="dxa" w:w="6912"/>
            <w:vAlign w:val="center"/>
          </w:tcPr>
          <w:p>
            <w:pPr>
              <w:spacing w:after="0"/>
            </w:pPr>
            <w:r/>
            <w:r>
              <w:rPr>
                <w:rFonts w:ascii="Arial" w:hAnsi="Arial"/>
                <w:b w:val="0"/>
                <w:color w:val="000000"/>
                <w:sz w:val="16"/>
              </w:rPr>
              <w:t>X and Z responses include Asia/Manila scope, identifiers, counters, serialized payload hash, and evidence contract. Z close persists the hash and emits a z_reading fiscal event.</w:t>
            </w:r>
          </w:p>
        </w:tc>
      </w:tr>
      <w:tr>
        <w:tc>
          <w:tcPr>
            <w:tcW w:type="dxa" w:w="2448"/>
            <w:vAlign w:val="center"/>
          </w:tcPr>
          <w:p>
            <w:pPr>
              <w:spacing w:after="0"/>
            </w:pPr>
            <w:r/>
            <w:r>
              <w:rPr>
                <w:rFonts w:ascii="Arial" w:hAnsi="Arial"/>
                <w:b w:val="0"/>
                <w:color w:val="000000"/>
                <w:sz w:val="16"/>
              </w:rPr>
              <w:t>Reports</w:t>
            </w:r>
          </w:p>
        </w:tc>
        <w:tc>
          <w:tcPr>
            <w:tcW w:type="dxa" w:w="6912"/>
            <w:vAlign w:val="center"/>
          </w:tcPr>
          <w:p>
            <w:pPr>
              <w:spacing w:after="0"/>
            </w:pPr>
            <w:r/>
            <w:r>
              <w:rPr>
                <w:rFonts w:ascii="Arial" w:hAnsi="Arial"/>
                <w:b w:val="0"/>
                <w:color w:val="000000"/>
                <w:sz w:val="16"/>
              </w:rPr>
              <w:t>Return adjustments are included in the report adjustment type set and reconciliation output discloses transaction, payment, adjustment, snapshot, and closed-shift inputs.</w:t>
            </w:r>
          </w:p>
        </w:tc>
      </w:tr>
      <w:tr>
        <w:tc>
          <w:tcPr>
            <w:tcW w:type="dxa" w:w="2448"/>
            <w:vAlign w:val="center"/>
          </w:tcPr>
          <w:p>
            <w:pPr>
              <w:spacing w:after="0"/>
            </w:pPr>
            <w:r/>
            <w:r>
              <w:rPr>
                <w:rFonts w:ascii="Arial" w:hAnsi="Arial"/>
                <w:b w:val="0"/>
                <w:color w:val="000000"/>
                <w:sz w:val="16"/>
              </w:rPr>
              <w:t>Schema</w:t>
            </w:r>
          </w:p>
        </w:tc>
        <w:tc>
          <w:tcPr>
            <w:tcW w:type="dxa" w:w="6912"/>
            <w:vAlign w:val="center"/>
          </w:tcPr>
          <w:p>
            <w:pPr>
              <w:spacing w:after="0"/>
            </w:pPr>
            <w:r/>
            <w:r>
              <w:rPr>
                <w:rFonts w:ascii="Arial" w:hAnsi="Arial"/>
                <w:b w:val="0"/>
                <w:color w:val="000000"/>
                <w:sz w:val="16"/>
              </w:rPr>
              <w:t>Tenant migration adds the return adjustment enum value and nullable Z-reading payload hash; model definitions match the migration.</w:t>
            </w:r>
          </w:p>
        </w:tc>
      </w:tr>
    </w:tbl>
    <w:p>
      <w:pPr>
        <w:spacing w:after="0"/>
      </w:pPr>
    </w:p>
    <w:p>
      <w:pPr>
        <w:pStyle w:val="Heading1"/>
        <w:keepNext/>
      </w:pPr>
      <w:r>
        <w:rPr>
          <w:color w:val="000000"/>
        </w:rPr>
        <w:t>4. Phase verification</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trPr>
        <w:tc>
          <w:tcPr>
            <w:tcW w:type="dxa" w:w="792"/>
            <w:vAlign w:val="center"/>
            <w:shd w:fill="1F4E79"/>
          </w:tcPr>
          <w:p>
            <w:pPr>
              <w:spacing w:after="0"/>
            </w:pPr>
            <w:r/>
            <w:r>
              <w:rPr>
                <w:rFonts w:ascii="Arial" w:hAnsi="Arial"/>
                <w:b/>
                <w:color w:val="FFFFFF"/>
                <w:sz w:val="16"/>
              </w:rPr>
              <w:t>Phase</w:t>
            </w:r>
          </w:p>
        </w:tc>
        <w:tc>
          <w:tcPr>
            <w:tcW w:type="dxa" w:w="1800"/>
            <w:vAlign w:val="center"/>
            <w:shd w:fill="1F4E79"/>
          </w:tcPr>
          <w:p>
            <w:pPr>
              <w:spacing w:after="0"/>
            </w:pPr>
            <w:r/>
            <w:r>
              <w:rPr>
                <w:rFonts w:ascii="Arial" w:hAnsi="Arial"/>
                <w:b/>
                <w:color w:val="FFFFFF"/>
                <w:sz w:val="16"/>
              </w:rPr>
              <w:t>Result</w:t>
            </w:r>
          </w:p>
        </w:tc>
        <w:tc>
          <w:tcPr>
            <w:tcW w:type="dxa" w:w="3240"/>
            <w:vAlign w:val="center"/>
            <w:shd w:fill="1F4E79"/>
          </w:tcPr>
          <w:p>
            <w:pPr>
              <w:spacing w:after="0"/>
            </w:pPr>
            <w:r/>
            <w:r>
              <w:rPr>
                <w:rFonts w:ascii="Arial" w:hAnsi="Arial"/>
                <w:b/>
                <w:color w:val="FFFFFF"/>
                <w:sz w:val="16"/>
              </w:rPr>
              <w:t>Evidence</w:t>
            </w:r>
          </w:p>
        </w:tc>
        <w:tc>
          <w:tcPr>
            <w:tcW w:type="dxa" w:w="3528"/>
            <w:vAlign w:val="center"/>
            <w:shd w:fill="1F4E79"/>
          </w:tcPr>
          <w:p>
            <w:pPr>
              <w:spacing w:after="0"/>
            </w:pPr>
            <w:r/>
            <w:r>
              <w:rPr>
                <w:rFonts w:ascii="Arial" w:hAnsi="Arial"/>
                <w:b/>
                <w:color w:val="FFFFFF"/>
                <w:sz w:val="16"/>
              </w:rPr>
              <w:t>Open boundary</w:t>
            </w:r>
          </w:p>
        </w:tc>
      </w:tr>
      <w:tr>
        <w:tc>
          <w:tcPr>
            <w:tcW w:type="dxa" w:w="792"/>
            <w:vAlign w:val="center"/>
          </w:tcPr>
          <w:p>
            <w:pPr>
              <w:spacing w:after="0"/>
            </w:pPr>
            <w:r/>
            <w:r>
              <w:rPr>
                <w:rFonts w:ascii="Arial" w:hAnsi="Arial"/>
                <w:b w:val="0"/>
                <w:color w:val="000000"/>
                <w:sz w:val="16"/>
              </w:rPr>
              <w:t>354</w:t>
            </w:r>
          </w:p>
        </w:tc>
        <w:tc>
          <w:tcPr>
            <w:tcW w:type="dxa" w:w="1800"/>
            <w:vAlign w:val="center"/>
          </w:tcPr>
          <w:p>
            <w:pPr>
              <w:spacing w:after="0"/>
            </w:pPr>
            <w:r/>
            <w:r>
              <w:rPr>
                <w:rFonts w:ascii="Arial" w:hAnsi="Arial"/>
                <w:b w:val="0"/>
                <w:color w:val="000000"/>
                <w:sz w:val="16"/>
              </w:rPr>
              <w:t>VERIFIED locally</w:t>
            </w:r>
          </w:p>
        </w:tc>
        <w:tc>
          <w:tcPr>
            <w:tcW w:type="dxa" w:w="3240"/>
            <w:vAlign w:val="center"/>
          </w:tcPr>
          <w:p>
            <w:pPr>
              <w:spacing w:after="0"/>
            </w:pPr>
            <w:r/>
            <w:r>
              <w:rPr>
                <w:rFonts w:ascii="Arial" w:hAnsi="Arial"/>
                <w:b w:val="0"/>
                <w:color w:val="000000"/>
                <w:sz w:val="16"/>
              </w:rPr>
              <w:t>TEST-440, TEST-441, AC-440, AC-441</w:t>
            </w:r>
          </w:p>
        </w:tc>
        <w:tc>
          <w:tcPr>
            <w:tcW w:type="dxa" w:w="3528"/>
            <w:vAlign w:val="center"/>
          </w:tcPr>
          <w:p>
            <w:pPr>
              <w:spacing w:after="0"/>
            </w:pPr>
            <w:r/>
            <w:r>
              <w:rPr>
                <w:rFonts w:ascii="Arial" w:hAnsi="Arial"/>
                <w:b w:val="0"/>
                <w:color w:val="000000"/>
                <w:sz w:val="16"/>
              </w:rPr>
              <w:t>Athlete and solo-parent policy fixtures remain review-required.</w:t>
            </w:r>
          </w:p>
        </w:tc>
      </w:tr>
      <w:tr>
        <w:tc>
          <w:tcPr>
            <w:tcW w:type="dxa" w:w="792"/>
            <w:vAlign w:val="center"/>
          </w:tcPr>
          <w:p>
            <w:pPr>
              <w:spacing w:after="0"/>
            </w:pPr>
            <w:r/>
            <w:r>
              <w:rPr>
                <w:rFonts w:ascii="Arial" w:hAnsi="Arial"/>
                <w:b w:val="0"/>
                <w:color w:val="000000"/>
                <w:sz w:val="16"/>
              </w:rPr>
              <w:t>355</w:t>
            </w:r>
          </w:p>
        </w:tc>
        <w:tc>
          <w:tcPr>
            <w:tcW w:type="dxa" w:w="1800"/>
            <w:vAlign w:val="center"/>
          </w:tcPr>
          <w:p>
            <w:pPr>
              <w:spacing w:after="0"/>
            </w:pPr>
            <w:r/>
            <w:r>
              <w:rPr>
                <w:rFonts w:ascii="Arial" w:hAnsi="Arial"/>
                <w:b w:val="0"/>
                <w:color w:val="000000"/>
                <w:sz w:val="16"/>
              </w:rPr>
              <w:t>VERIFIED locally</w:t>
            </w:r>
          </w:p>
        </w:tc>
        <w:tc>
          <w:tcPr>
            <w:tcW w:type="dxa" w:w="3240"/>
            <w:vAlign w:val="center"/>
          </w:tcPr>
          <w:p>
            <w:pPr>
              <w:spacing w:after="0"/>
            </w:pPr>
            <w:r/>
            <w:r>
              <w:rPr>
                <w:rFonts w:ascii="Arial" w:hAnsi="Arial"/>
                <w:b w:val="0"/>
                <w:color w:val="000000"/>
                <w:sz w:val="16"/>
              </w:rPr>
              <w:t>TEST-442, TEST-443, AC-442, AC-443</w:t>
            </w:r>
          </w:p>
        </w:tc>
        <w:tc>
          <w:tcPr>
            <w:tcW w:type="dxa" w:w="3528"/>
            <w:vAlign w:val="center"/>
          </w:tcPr>
          <w:p>
            <w:pPr>
              <w:spacing w:after="0"/>
            </w:pPr>
            <w:r/>
            <w:r>
              <w:rPr>
                <w:rFonts w:ascii="Arial" w:hAnsi="Arial"/>
                <w:b w:val="0"/>
                <w:color w:val="000000"/>
                <w:sz w:val="16"/>
              </w:rPr>
              <w:t>External fiscal treatment and authority remain review-required.</w:t>
            </w:r>
          </w:p>
        </w:tc>
      </w:tr>
      <w:tr>
        <w:tc>
          <w:tcPr>
            <w:tcW w:type="dxa" w:w="792"/>
            <w:vAlign w:val="center"/>
          </w:tcPr>
          <w:p>
            <w:pPr>
              <w:spacing w:after="0"/>
            </w:pPr>
            <w:r/>
            <w:r>
              <w:rPr>
                <w:rFonts w:ascii="Arial" w:hAnsi="Arial"/>
                <w:b w:val="0"/>
                <w:color w:val="000000"/>
                <w:sz w:val="16"/>
              </w:rPr>
              <w:t>356</w:t>
            </w:r>
          </w:p>
        </w:tc>
        <w:tc>
          <w:tcPr>
            <w:tcW w:type="dxa" w:w="1800"/>
            <w:vAlign w:val="center"/>
          </w:tcPr>
          <w:p>
            <w:pPr>
              <w:spacing w:after="0"/>
            </w:pPr>
            <w:r/>
            <w:r>
              <w:rPr>
                <w:rFonts w:ascii="Arial" w:hAnsi="Arial"/>
                <w:b w:val="0"/>
                <w:color w:val="000000"/>
                <w:sz w:val="16"/>
              </w:rPr>
              <w:t>VERIFIED locally</w:t>
            </w:r>
          </w:p>
        </w:tc>
        <w:tc>
          <w:tcPr>
            <w:tcW w:type="dxa" w:w="3240"/>
            <w:vAlign w:val="center"/>
          </w:tcPr>
          <w:p>
            <w:pPr>
              <w:spacing w:after="0"/>
            </w:pPr>
            <w:r/>
            <w:r>
              <w:rPr>
                <w:rFonts w:ascii="Arial" w:hAnsi="Arial"/>
                <w:b w:val="0"/>
                <w:color w:val="000000"/>
                <w:sz w:val="16"/>
              </w:rPr>
              <w:t>TEST-444, AC-444</w:t>
            </w:r>
          </w:p>
        </w:tc>
        <w:tc>
          <w:tcPr>
            <w:tcW w:type="dxa" w:w="3528"/>
            <w:vAlign w:val="center"/>
          </w:tcPr>
          <w:p>
            <w:pPr>
              <w:spacing w:after="0"/>
            </w:pPr>
            <w:r/>
            <w:r>
              <w:rPr>
                <w:rFonts w:ascii="Arial" w:hAnsi="Arial"/>
                <w:b w:val="0"/>
                <w:color w:val="000000"/>
                <w:sz w:val="16"/>
              </w:rPr>
              <w:t>Reading format/retention and deployed proof remain review-required.</w:t>
            </w:r>
          </w:p>
        </w:tc>
      </w:tr>
    </w:tbl>
    <w:p>
      <w:pPr>
        <w:spacing w:after="0"/>
      </w:pPr>
    </w:p>
    <w:p>
      <w:pPr>
        <w:pStyle w:val="Heading1"/>
        <w:keepNext/>
      </w:pPr>
      <w:r>
        <w:rPr>
          <w:color w:val="000000"/>
        </w:rPr>
        <w:t>5. Fixture and negative-case coverage</w:t>
      </w:r>
    </w:p>
    <w:tbl>
      <w:tblPr>
        <w:tblStyle w:val="TableGrid"/>
        <w:tblW w:type="auto" w:w="0"/>
        <w:tblLayout w:type="autofit"/>
        <w:tblLook w:firstColumn="1" w:firstRow="1" w:lastColumn="0" w:lastRow="0" w:noHBand="0" w:noVBand="1" w:val="04A0"/>
      </w:tblPr>
      <w:tblGrid>
        <w:gridCol w:w="5112"/>
        <w:gridCol w:w="5112"/>
      </w:tblGrid>
      <w:tr>
        <w:trPr>
          <w:tblHeader/>
        </w:trPr>
        <w:tc>
          <w:tcPr>
            <w:tcW w:type="dxa" w:w="3168"/>
            <w:vAlign w:val="center"/>
            <w:shd w:fill="1F4E79"/>
          </w:tcPr>
          <w:p>
            <w:pPr>
              <w:spacing w:after="0"/>
            </w:pPr>
            <w:r/>
            <w:r>
              <w:rPr>
                <w:rFonts w:ascii="Arial" w:hAnsi="Arial"/>
                <w:b/>
                <w:color w:val="FFFFFF"/>
                <w:sz w:val="16"/>
              </w:rPr>
              <w:t>Fixture/case</w:t>
            </w:r>
          </w:p>
        </w:tc>
        <w:tc>
          <w:tcPr>
            <w:tcW w:type="dxa" w:w="6192"/>
            <w:vAlign w:val="center"/>
            <w:shd w:fill="1F4E79"/>
          </w:tcPr>
          <w:p>
            <w:pPr>
              <w:spacing w:after="0"/>
            </w:pPr>
            <w:r/>
            <w:r>
              <w:rPr>
                <w:rFonts w:ascii="Arial" w:hAnsi="Arial"/>
                <w:b/>
                <w:color w:val="FFFFFF"/>
                <w:sz w:val="16"/>
              </w:rPr>
              <w:t>Local result</w:t>
            </w:r>
          </w:p>
        </w:tc>
      </w:tr>
      <w:tr>
        <w:tc>
          <w:tcPr>
            <w:tcW w:type="dxa" w:w="3168"/>
            <w:vAlign w:val="center"/>
          </w:tcPr>
          <w:p>
            <w:pPr>
              <w:spacing w:after="0"/>
            </w:pPr>
            <w:r/>
            <w:r>
              <w:rPr>
                <w:rFonts w:ascii="Arial" w:hAnsi="Arial"/>
                <w:b w:val="0"/>
                <w:color w:val="000000"/>
                <w:sz w:val="16"/>
              </w:rPr>
              <w:t>R4-REGULAR / R4-SENIOR / R4-PWD</w:t>
            </w:r>
          </w:p>
        </w:tc>
        <w:tc>
          <w:tcPr>
            <w:tcW w:type="dxa" w:w="6192"/>
            <w:vAlign w:val="center"/>
          </w:tcPr>
          <w:p>
            <w:pPr>
              <w:spacing w:after="0"/>
            </w:pPr>
            <w:r/>
            <w:r>
              <w:rPr>
                <w:rFonts w:ascii="Arial" w:hAnsi="Arial"/>
                <w:b w:val="0"/>
                <w:color w:val="000000"/>
                <w:sz w:val="16"/>
              </w:rPr>
              <w:t>Validated server snapshot and renderer projection</w:t>
            </w:r>
          </w:p>
        </w:tc>
      </w:tr>
      <w:tr>
        <w:tc>
          <w:tcPr>
            <w:tcW w:type="dxa" w:w="3168"/>
            <w:vAlign w:val="center"/>
          </w:tcPr>
          <w:p>
            <w:pPr>
              <w:spacing w:after="0"/>
            </w:pPr>
            <w:r/>
            <w:r>
              <w:rPr>
                <w:rFonts w:ascii="Arial" w:hAnsi="Arial"/>
                <w:b w:val="0"/>
                <w:color w:val="000000"/>
                <w:sz w:val="16"/>
              </w:rPr>
              <w:t>R4-CHARGES / R4-NONFISCAL</w:t>
            </w:r>
          </w:p>
        </w:tc>
        <w:tc>
          <w:tcPr>
            <w:tcW w:type="dxa" w:w="6192"/>
            <w:vAlign w:val="center"/>
          </w:tcPr>
          <w:p>
            <w:pPr>
              <w:spacing w:after="0"/>
            </w:pPr>
            <w:r/>
            <w:r>
              <w:rPr>
                <w:rFonts w:ascii="Arial" w:hAnsi="Arial"/>
                <w:b w:val="0"/>
                <w:color w:val="000000"/>
                <w:sz w:val="16"/>
              </w:rPr>
              <w:t>Charges and non-fiscal context remain explicit</w:t>
            </w:r>
          </w:p>
        </w:tc>
      </w:tr>
      <w:tr>
        <w:tc>
          <w:tcPr>
            <w:tcW w:type="dxa" w:w="3168"/>
            <w:vAlign w:val="center"/>
          </w:tcPr>
          <w:p>
            <w:pPr>
              <w:spacing w:after="0"/>
            </w:pPr>
            <w:r/>
            <w:r>
              <w:rPr>
                <w:rFonts w:ascii="Arial" w:hAnsi="Arial"/>
                <w:b w:val="0"/>
                <w:color w:val="000000"/>
                <w:sz w:val="16"/>
              </w:rPr>
              <w:t>R4-ATHLETE / R4-SOLO</w:t>
            </w:r>
          </w:p>
        </w:tc>
        <w:tc>
          <w:tcPr>
            <w:tcW w:type="dxa" w:w="6192"/>
            <w:vAlign w:val="center"/>
          </w:tcPr>
          <w:p>
            <w:pPr>
              <w:spacing w:after="0"/>
            </w:pPr>
            <w:r/>
            <w:r>
              <w:rPr>
                <w:rFonts w:ascii="Arial" w:hAnsi="Arial"/>
                <w:b w:val="0"/>
                <w:color w:val="000000"/>
                <w:sz w:val="16"/>
              </w:rPr>
              <w:t>REVIEW_REQUIRED; no unsupported policy claim</w:t>
            </w:r>
          </w:p>
        </w:tc>
      </w:tr>
      <w:tr>
        <w:tc>
          <w:tcPr>
            <w:tcW w:type="dxa" w:w="3168"/>
            <w:vAlign w:val="center"/>
          </w:tcPr>
          <w:p>
            <w:pPr>
              <w:spacing w:after="0"/>
            </w:pPr>
            <w:r/>
            <w:r>
              <w:rPr>
                <w:rFonts w:ascii="Arial" w:hAnsi="Arial"/>
                <w:b w:val="0"/>
                <w:color w:val="000000"/>
                <w:sz w:val="16"/>
              </w:rPr>
              <w:t>R5-RETURN</w:t>
            </w:r>
          </w:p>
        </w:tc>
        <w:tc>
          <w:tcPr>
            <w:tcW w:type="dxa" w:w="6192"/>
            <w:vAlign w:val="center"/>
          </w:tcPr>
          <w:p>
            <w:pPr>
              <w:spacing w:after="0"/>
            </w:pPr>
            <w:r/>
            <w:r>
              <w:rPr>
                <w:rFonts w:ascii="Arial" w:hAnsi="Arial"/>
                <w:b w:val="0"/>
                <w:color w:val="000000"/>
                <w:sz w:val="16"/>
              </w:rPr>
              <w:t>Distinct RETURN adjustment; original immutable; refund/inventory separate</w:t>
            </w:r>
          </w:p>
        </w:tc>
      </w:tr>
      <w:tr>
        <w:tc>
          <w:tcPr>
            <w:tcW w:type="dxa" w:w="3168"/>
            <w:vAlign w:val="center"/>
          </w:tcPr>
          <w:p>
            <w:pPr>
              <w:spacing w:after="0"/>
            </w:pPr>
            <w:r/>
            <w:r>
              <w:rPr>
                <w:rFonts w:ascii="Arial" w:hAnsi="Arial"/>
                <w:b w:val="0"/>
                <w:color w:val="000000"/>
                <w:sz w:val="16"/>
              </w:rPr>
              <w:t>R6-X / R6-Z</w:t>
            </w:r>
          </w:p>
        </w:tc>
        <w:tc>
          <w:tcPr>
            <w:tcW w:type="dxa" w:w="6192"/>
            <w:vAlign w:val="center"/>
          </w:tcPr>
          <w:p>
            <w:pPr>
              <w:spacing w:after="0"/>
            </w:pPr>
            <w:r/>
            <w:r>
              <w:rPr>
                <w:rFonts w:ascii="Arial" w:hAnsi="Arial"/>
                <w:b w:val="0"/>
                <w:color w:val="000000"/>
                <w:sz w:val="16"/>
              </w:rPr>
              <w:t>Asia/Manila, counters, identifiers, SHA-256 payload evidence</w:t>
            </w:r>
          </w:p>
        </w:tc>
      </w:tr>
      <w:tr>
        <w:tc>
          <w:tcPr>
            <w:tcW w:type="dxa" w:w="3168"/>
            <w:vAlign w:val="center"/>
          </w:tcPr>
          <w:p>
            <w:pPr>
              <w:spacing w:after="0"/>
            </w:pPr>
            <w:r/>
            <w:r>
              <w:rPr>
                <w:rFonts w:ascii="Arial" w:hAnsi="Arial"/>
                <w:b w:val="0"/>
                <w:color w:val="000000"/>
                <w:sz w:val="16"/>
              </w:rPr>
              <w:t>Tampered snapshot / missing hash</w:t>
            </w:r>
          </w:p>
        </w:tc>
        <w:tc>
          <w:tcPr>
            <w:tcW w:type="dxa" w:w="6192"/>
            <w:vAlign w:val="center"/>
          </w:tcPr>
          <w:p>
            <w:pPr>
              <w:spacing w:after="0"/>
            </w:pPr>
            <w:r/>
            <w:r>
              <w:rPr>
                <w:rFonts w:ascii="Arial" w:hAnsi="Arial"/>
                <w:b w:val="0"/>
                <w:color w:val="000000"/>
                <w:sz w:val="16"/>
              </w:rPr>
              <w:t>Rejected as unverified</w:t>
            </w:r>
          </w:p>
        </w:tc>
      </w:tr>
      <w:tr>
        <w:tc>
          <w:tcPr>
            <w:tcW w:type="dxa" w:w="3168"/>
            <w:vAlign w:val="center"/>
          </w:tcPr>
          <w:p>
            <w:pPr>
              <w:spacing w:after="0"/>
            </w:pPr>
            <w:r/>
            <w:r>
              <w:rPr>
                <w:rFonts w:ascii="Arial" w:hAnsi="Arial"/>
                <w:b w:val="0"/>
                <w:color w:val="000000"/>
                <w:sz w:val="16"/>
              </w:rPr>
              <w:t>Return over-quantity / idempotency conflict</w:t>
            </w:r>
          </w:p>
        </w:tc>
        <w:tc>
          <w:tcPr>
            <w:tcW w:type="dxa" w:w="6192"/>
            <w:vAlign w:val="center"/>
          </w:tcPr>
          <w:p>
            <w:pPr>
              <w:spacing w:after="0"/>
            </w:pPr>
            <w:r/>
            <w:r>
              <w:rPr>
                <w:rFonts w:ascii="Arial" w:hAnsi="Arial"/>
                <w:b w:val="0"/>
                <w:color w:val="000000"/>
                <w:sz w:val="16"/>
              </w:rPr>
              <w:t>Rejected with deterministic reason codes</w:t>
            </w:r>
          </w:p>
        </w:tc>
      </w:tr>
      <w:tr>
        <w:tc>
          <w:tcPr>
            <w:tcW w:type="dxa" w:w="3168"/>
            <w:vAlign w:val="center"/>
          </w:tcPr>
          <w:p>
            <w:pPr>
              <w:spacing w:after="0"/>
            </w:pPr>
            <w:r/>
            <w:r>
              <w:rPr>
                <w:rFonts w:ascii="Arial" w:hAnsi="Arial"/>
                <w:b w:val="0"/>
                <w:color w:val="000000"/>
                <w:sz w:val="16"/>
              </w:rPr>
              <w:t>Open shift / filtered report</w:t>
            </w:r>
          </w:p>
        </w:tc>
        <w:tc>
          <w:tcPr>
            <w:tcW w:type="dxa" w:w="6192"/>
            <w:vAlign w:val="center"/>
          </w:tcPr>
          <w:p>
            <w:pPr>
              <w:spacing w:after="0"/>
            </w:pPr>
            <w:r/>
            <w:r>
              <w:rPr>
                <w:rFonts w:ascii="Arial" w:hAnsi="Arial"/>
                <w:b w:val="0"/>
                <w:color w:val="000000"/>
                <w:sz w:val="16"/>
              </w:rPr>
              <w:t>Z close blocked or reconciliation marked non-comparable</w:t>
            </w:r>
          </w:p>
        </w:tc>
      </w:tr>
    </w:tbl>
    <w:p>
      <w:pPr>
        <w:spacing w:after="0"/>
      </w:pPr>
    </w:p>
    <w:p>
      <w:pPr>
        <w:pStyle w:val="Heading1"/>
        <w:keepNext/>
      </w:pPr>
      <w:r>
        <w:rPr>
          <w:color w:val="000000"/>
        </w:rPr>
        <w:t>6. Verification commands and results</w:t>
      </w:r>
    </w:p>
    <w:p>
      <w:pPr>
        <w:pStyle w:val="NoSpacing"/>
        <w:spacing w:after="100"/>
        <w:ind w:left="360"/>
      </w:pPr>
      <w:r>
        <w:t>npm run test:backend -- --runTestsByPath tests/fiscalEvidenceContract.unit.test.js tests/posReturn.usecase.test.js tests/posReadings.usecase.test.js tests/posReports.repository.test.js tests/posCheckoutFnbContracts.usecase.test.js tests/annexBItem4To6.migration.test.js tests/posVoid.route.transport.test.js tests/posHandlers.transport.test.js</w:t>
      </w:r>
    </w:p>
    <w:p>
      <w:r>
        <w:t>Result: PASS - 8 suites, 136 tests.</w:t>
      </w:r>
    </w:p>
    <w:p>
      <w:pPr>
        <w:pStyle w:val="NoSpacing"/>
        <w:spacing w:after="100"/>
        <w:ind w:left="360"/>
      </w:pPr>
      <w:r>
        <w:rPr>
          <w:rFonts w:ascii="Consolas" w:hAnsi="Consolas"/>
          <w:color w:val="1F1F1F"/>
          <w:sz w:val="16"/>
        </w:rPr>
        <w:t>npm run check:annex-b-section-04</w:t>
      </w:r>
    </w:p>
    <w:p>
      <w:r>
        <w:t>Result: PASS — contract, phase sequence, source hashes, fixture boundary, and evidence outputs validated.</w:t>
      </w:r>
    </w:p>
    <w:p>
      <w:pPr>
        <w:pStyle w:val="NoSpacing"/>
        <w:spacing w:after="100"/>
        <w:ind w:left="360"/>
      </w:pPr>
      <w:r>
        <w:rPr>
          <w:rFonts w:ascii="Consolas" w:hAnsi="Consolas"/>
          <w:color w:val="1F1F1F"/>
          <w:sz w:val="16"/>
        </w:rPr>
        <w:t>npm run test:annex-b-section-04</w:t>
      </w:r>
    </w:p>
    <w:p>
      <w:r>
        <w:t>Result: PASS — 3 validator tests, including unsupported-fixture and source-hash negative cases.</w:t>
      </w:r>
    </w:p>
    <w:p>
      <w:pPr>
        <w:pStyle w:val="NoSpacing"/>
        <w:spacing w:after="100"/>
        <w:ind w:left="360"/>
      </w:pPr>
      <w:r>
        <w:rPr>
          <w:rFonts w:ascii="Consolas" w:hAnsi="Consolas"/>
          <w:color w:val="1F1F1F"/>
          <w:sz w:val="16"/>
        </w:rPr>
        <w:t>npm run check:annex-b-architecture</w:t>
      </w:r>
    </w:p>
    <w:p>
      <w:r>
        <w:t>Result: PASS after refreshing Section 03 source hashes affected by the Section 04 implementation.</w:t>
      </w:r>
    </w:p>
    <w:p>
      <w:r>
        <w:t>npm run check:architecture</w:t>
      </w:r>
    </w:p>
    <w:p>
      <w:r>
        <w:t>Result: PASS - architecture guardrails and controller boundaries are clean.</w:t>
      </w:r>
    </w:p>
    <w:p>
      <w:r>
        <w:t>npm run lint --prefix apps/dgfy-api</w:t>
      </w:r>
    </w:p>
    <w:p>
      <w:r>
        <w:t>Result: PASS - 0 errors; 3 pre-existing warnings outside this change.</w:t>
      </w:r>
    </w:p>
    <w:p>
      <w:r>
        <w:t>Tenant schema contracts: PASS for the new RETURN enum repair and reading_payload_hash column repair; the full tenant-sync file retains a pre-existing Business Admin table assertion mismatch.</w:t>
      </w:r>
    </w:p>
    <w:p>
      <w:r>
        <w:t>Repository-wide check: check:compliance remains blocked by unrelated pre-existing declaration coverage/classification findings; this execution did not alter those declarations.</w:t>
      </w:r>
    </w:p>
    <w:p>
      <w:r>
        <w:t>All commands above were executed locally. No staging or production deployment was performed.</w:t>
      </w:r>
    </w:p>
    <w:p>
      <w:pPr>
        <w:pStyle w:val="Heading1"/>
        <w:keepNext/>
      </w:pPr>
      <w:r>
        <w:rPr>
          <w:color w:val="000000"/>
        </w:rPr>
        <w:t>7. Data integrity, security, and rollback</w:t>
      </w:r>
    </w:p>
    <w:p>
      <w:pPr>
        <w:pStyle w:val="ListBullet"/>
        <w:spacing w:after="40"/>
      </w:pPr>
      <w:r>
        <w:t>Fiscal snapshots and Z-reading payloads are hashed with SHA-256; print evidence validates the original snapshot before recording output.</w:t>
      </w:r>
    </w:p>
    <w:p>
      <w:pPr>
        <w:pStyle w:val="ListBullet"/>
        <w:spacing w:after="40"/>
      </w:pPr>
      <w:r>
        <w:t>Returns require an open owned shift, terminal/location scope, a reason, returned original line IDs/quantities, and an idempotency key.</w:t>
      </w:r>
    </w:p>
    <w:p>
      <w:pPr>
        <w:pStyle w:val="ListBullet"/>
        <w:spacing w:after="40"/>
      </w:pPr>
      <w:r>
        <w:t>Original transactions are read-only for return evidence; payment refund and inventory reversal are explicit separate follow-up actions.</w:t>
      </w:r>
    </w:p>
    <w:p>
      <w:pPr>
        <w:pStyle w:val="ListBullet"/>
        <w:spacing w:after="40"/>
      </w:pPr>
      <w:r>
        <w:t>Migration is additive for the new hash column and return enum value. Rollback is defined in the migration, subject to the normal prerequisite that no return rows remain when reverting the enum.</w:t>
      </w:r>
    </w:p>
    <w:p>
      <w:pPr>
        <w:pStyle w:val="ListBullet"/>
        <w:spacing w:after="40"/>
      </w:pPr>
      <w:r>
        <w:t>The change is local-only in this execution. Release, rollback drill, and deployed environment proof were not performed.</w:t>
      </w:r>
    </w:p>
    <w:p>
      <w:pPr>
        <w:pStyle w:val="Heading1"/>
        <w:keepNext/>
      </w:pPr>
      <w:r>
        <w:rPr>
          <w:color w:val="000000"/>
        </w:rPr>
        <w:t>8. Remaining gates before external submission</w:t>
      </w:r>
    </w:p>
    <w:p>
      <w:pPr>
        <w:pStyle w:val="ListBullet"/>
        <w:spacing w:after="40"/>
      </w:pPr>
      <w:r>
        <w:t>Obtain the authorized final e-Journal text grammar, fiscal/provider rules, retention/export limits, and printer/hard-copy requirements.</w:t>
      </w:r>
    </w:p>
    <w:p>
      <w:pPr>
        <w:pStyle w:val="ListBullet"/>
        <w:spacing w:after="40"/>
      </w:pPr>
      <w:r>
        <w:t>Supply authoritative athlete and solo-parent policy/source fixtures if those benefits are in scope.</w:t>
      </w:r>
    </w:p>
    <w:p>
      <w:pPr>
        <w:pStyle w:val="ListBullet"/>
        <w:spacing w:after="40"/>
      </w:pPr>
      <w:r>
        <w:t>Migration and tenant-schema contracts were verified locally by migration/unit tests and the new enum/column repair contract. A live tenant-schema migration run remains a separate local operational step before release.</w:t>
      </w:r>
    </w:p>
    <w:p>
      <w:pPr>
        <w:pStyle w:val="ListBullet"/>
        <w:spacing w:after="40"/>
      </w:pPr>
      <w:r>
        <w:t>Perform a separately authorized release/rollback and deployed verification cycle; it is outside this local-only execution.</w:t>
      </w:r>
    </w:p>
    <w:p>
      <w:pPr>
        <w:pStyle w:val="Heading1"/>
        <w:keepNext/>
      </w:pPr>
      <w:r>
        <w:rPr>
          <w:color w:val="000000"/>
        </w:rPr>
        <w:t>9. Completion statement</w:t>
      </w:r>
    </w:p>
    <w:p>
      <w:r>
        <w:t>Phases 354, 355, and 356 are complete for the implemented local runtime contract and their listed acceptance gates. The Section 04 artifact remains LOCAL_RUNTIME_VERIFIED_EXTERNAL_REVIEW_REQUIRED. No statement in this report should be read as BIR approval or as evidence that an external authority has accepted the system.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POS-DGFY • Section 04 execution evidence • local-only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