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EXECUTION REPORT</w:t>
      </w:r>
    </w:p>
    <w:p>
      <w:pPr>
        <w:jc w:val="center"/>
      </w:pPr>
      <w:r>
        <w:rPr>
          <w:b/>
        </w:rPr>
        <w:t>05_EJournal_Reports_and_Evidence_Exports</w:t>
        <w:br/>
      </w:r>
      <w:r>
        <w:t>POS BIR Annex B Items 4 to 14 readiness · Phases 357–358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4E79"/>
              </w:rPr>
              <w:t>Execution field</w:t>
            </w:r>
          </w:p>
        </w:tc>
        <w:tc>
          <w:tcPr>
            <w:tcW w:type="dxa" w:w="5112"/>
          </w:tcPr>
          <w:p>
            <w:r>
              <w:rPr>
                <w:b/>
                <w:color w:val="1F4E79"/>
              </w:rPr>
              <w:t>Recorded value</w:t>
            </w:r>
          </w:p>
        </w:tc>
      </w:tr>
      <w:tr>
        <w:tc>
          <w:tcPr>
            <w:tcW w:type="dxa" w:w="5112"/>
          </w:tcPr>
          <w:p>
            <w:r>
              <w:t>Execution date</w:t>
            </w:r>
          </w:p>
        </w:tc>
        <w:tc>
          <w:tcPr>
            <w:tcW w:type="dxa" w:w="5112"/>
          </w:tcPr>
          <w:p>
            <w:r>
              <w:t>2026-10-03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C:\xampp\htdocs\POS-DGFY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Local only; no staging or production access used</w:t>
            </w:r>
          </w:p>
        </w:tc>
      </w:tr>
      <w:tr>
        <w:tc>
          <w:tcPr>
            <w:tcW w:type="dxa" w:w="5112"/>
          </w:tcPr>
          <w:p>
            <w:r>
              <w:t>Approved plan</w:t>
            </w:r>
          </w:p>
        </w:tc>
        <w:tc>
          <w:tcPr>
            <w:tcW w:type="dxa" w:w="5112"/>
          </w:tcPr>
          <w:p>
            <w:r>
              <w:t>output/plans/POS_BIR_Annex_B_Items_4_to_14_Readiness/05_EJournal_Reports_and_Evidence_Exports.docx</w:t>
            </w:r>
          </w:p>
        </w:tc>
      </w:tr>
      <w:tr>
        <w:tc>
          <w:tcPr>
            <w:tcW w:type="dxa" w:w="5112"/>
          </w:tcPr>
          <w:p>
            <w:r>
              <w:t>Readiness status</w:t>
            </w:r>
          </w:p>
        </w:tc>
        <w:tc>
          <w:tcPr>
            <w:tcW w:type="dxa" w:w="5112"/>
          </w:tcPr>
          <w:p>
            <w:r>
              <w:t>LOCAL_RUNTIME_VERIFIED_EXTERNAL_REVIEW_REQUIRED</w:t>
            </w:r>
          </w:p>
        </w:tc>
      </w:tr>
      <w:tr>
        <w:tc>
          <w:tcPr>
            <w:tcW w:type="dxa" w:w="5112"/>
          </w:tcPr>
          <w:p>
            <w:r>
              <w:t>Internal serializer</w:t>
            </w:r>
          </w:p>
        </w:tc>
        <w:tc>
          <w:tcPr>
            <w:tcW w:type="dxa" w:w="5112"/>
          </w:tcPr>
          <w:p>
            <w:r>
              <w:t>EJOURNAL-READINESS-0.1</w:t>
            </w:r>
          </w:p>
        </w:tc>
      </w:tr>
      <w:tr>
        <w:tc>
          <w:tcPr>
            <w:tcW w:type="dxa" w:w="5112"/>
          </w:tcPr>
          <w:p>
            <w:r>
              <w:t>Next eligible phase</w:t>
            </w:r>
          </w:p>
        </w:tc>
        <w:tc>
          <w:tcPr>
            <w:tcW w:type="dxa" w:w="5112"/>
          </w:tcPr>
          <w:p>
            <w:r>
              <w:t>359; re-check the authoritative phase ledger before reservation</w:t>
            </w:r>
          </w:p>
        </w:tc>
      </w:tr>
    </w:tbl>
    <w:p/>
    <w:p>
      <w:pPr>
        <w:pStyle w:val="Heading1"/>
      </w:pPr>
      <w:r>
        <w:t>1. Execution boundary and assessment</w:t>
      </w:r>
    </w:p>
    <w:p>
      <w:r>
        <w:t>The approved Section 05 plan was executed as a local implementation and verification task. The report applicability catalog and versioned receipt-complete e-journal exporter are implemented on the POS Business Admin surface. No code path claims BIR or provider approval.</w:t>
      </w:r>
    </w:p>
    <w:p>
      <w:pPr>
        <w:pStyle w:val="ListBullet"/>
      </w:pPr>
      <w:r>
        <w:t>POS Business Admin remains the owner of the reviewer surface; no new work was placed in IMS.</w:t>
      </w:r>
    </w:p>
    <w:p>
      <w:pPr>
        <w:pStyle w:val="ListBullet"/>
      </w:pPr>
      <w:r>
        <w:t>The exporter reads immutable fiscal snapshots, append-only adjustments, fiscal X/Z events, and persisted Z snapshots.</w:t>
      </w:r>
    </w:p>
    <w:p>
      <w:pPr>
        <w:pStyle w:val="ListBullet"/>
      </w:pPr>
      <w:r>
        <w:t>Training and non-fiscal transactions are excluded at the source query boundary.</w:t>
      </w:r>
    </w:p>
    <w:p>
      <w:pPr>
        <w:pStyle w:val="ListBullet"/>
      </w:pPr>
      <w:r>
        <w:t>The exporter is bounded to one Asia/Manila business date and 5,000 source rows per category.</w:t>
      </w:r>
    </w:p>
    <w:p>
      <w:pPr>
        <w:pStyle w:val="ListBullet"/>
      </w:pPr>
      <w:r>
        <w:t>External grammar, retention, tax treatment, printer layout, and provider/BIR review remain open gates.</w:t>
      </w:r>
    </w:p>
    <w:p>
      <w:pPr>
        <w:pStyle w:val="Heading1"/>
      </w:pPr>
      <w:r>
        <w:t>2. Implemented surfaces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4E79"/>
              </w:rPr>
              <w:t>Surface</w:t>
            </w:r>
          </w:p>
        </w:tc>
        <w:tc>
          <w:tcPr>
            <w:tcW w:type="dxa" w:w="5112"/>
          </w:tcPr>
          <w:p>
            <w:r>
              <w:rPr>
                <w:b/>
                <w:color w:val="1F4E79"/>
              </w:rPr>
              <w:t>Implementation and evidence</w:t>
            </w:r>
          </w:p>
        </w:tc>
      </w:tr>
      <w:tr>
        <w:tc>
          <w:tcPr>
            <w:tcW w:type="dxa" w:w="5112"/>
          </w:tcPr>
          <w:p>
            <w:r>
              <w:t>Report catalog</w:t>
            </w:r>
          </w:p>
        </w:tc>
        <w:tc>
          <w:tcPr>
            <w:tcW w:type="dxa" w:w="5112"/>
          </w:tcPr>
          <w:p>
            <w:r>
              <w:t>apps/dgfy-api/src/modules/reports/domain/reportEvidenceCatalog.js; registry-backed rows plus AuditLog evidence.</w:t>
            </w:r>
          </w:p>
        </w:tc>
      </w:tr>
      <w:tr>
        <w:tc>
          <w:tcPr>
            <w:tcW w:type="dxa" w:w="5112"/>
          </w:tcPr>
          <w:p>
            <w:r>
              <w:t>E-journal grammar</w:t>
            </w:r>
          </w:p>
        </w:tc>
        <w:tc>
          <w:tcPr>
            <w:tcW w:type="dxa" w:w="5112"/>
          </w:tcPr>
          <w:p>
            <w:r>
              <w:t>apps/dgfy-api/src/modules/reports/domain/eJournalReadiness.js; FILE, DOCUMENT, LINE, PAYMENT, ADJUSTMENT, READING, TRAILER records with escaping and SHA-256.</w:t>
            </w:r>
          </w:p>
        </w:tc>
      </w:tr>
      <w:tr>
        <w:tc>
          <w:tcPr>
            <w:tcW w:type="dxa" w:w="5112"/>
          </w:tcPr>
          <w:p>
            <w:r>
              <w:t>Source reads</w:t>
            </w:r>
          </w:p>
        </w:tc>
        <w:tc>
          <w:tcPr>
            <w:tcW w:type="dxa" w:w="5112"/>
          </w:tcPr>
          <w:p>
            <w:r>
              <w:t>apps/dgfy-api/src/modules/pos/repositories/posRepository.js; fiscal-only transactions, linked adjustments, fiscal events, and Z snapshots.</w:t>
            </w:r>
          </w:p>
        </w:tc>
      </w:tr>
      <w:tr>
        <w:tc>
          <w:tcPr>
            <w:tcW w:type="dxa" w:w="5112"/>
          </w:tcPr>
          <w:p>
            <w:r>
              <w:t>Use cases</w:t>
            </w:r>
          </w:p>
        </w:tc>
        <w:tc>
          <w:tcPr>
            <w:tcW w:type="dxa" w:w="5112"/>
          </w:tcPr>
          <w:p>
            <w:r>
              <w:t>apps/dgfy-api/src/modules/businessAdmin/usecases/businessAdminEvidenceUseCase.js; permissions, branch scope, bounds, audit, and deterministic retry behavior.</w:t>
            </w:r>
          </w:p>
        </w:tc>
      </w:tr>
      <w:tr>
        <w:tc>
          <w:tcPr>
            <w:tcW w:type="dxa" w:w="5112"/>
          </w:tcPr>
          <w:p>
            <w:r>
              <w:t>Transport</w:t>
            </w:r>
          </w:p>
        </w:tc>
        <w:tc>
          <w:tcPr>
            <w:tcW w:type="dxa" w:w="5112"/>
          </w:tcPr>
          <w:p>
            <w:r>
              <w:t>GET /api/v1/business-admin/reports/evidence/catalog and GET /api/v1/business-admin/reports/evidence/ejournal.</w:t>
            </w:r>
          </w:p>
        </w:tc>
      </w:tr>
      <w:tr>
        <w:tc>
          <w:tcPr>
            <w:tcW w:type="dxa" w:w="5112"/>
          </w:tcPr>
          <w:p>
            <w:r>
              <w:t>Reviewer UI</w:t>
            </w:r>
          </w:p>
        </w:tc>
        <w:tc>
          <w:tcPr>
            <w:tcW w:type="dxa" w:w="5112"/>
          </w:tcPr>
          <w:p>
            <w:r>
              <w:t>packages/web-core/src/features/merchantBackOffice/components/EvidencePanel.jsx and ReportsPage.jsx.</w:t>
            </w:r>
          </w:p>
        </w:tc>
      </w:tr>
      <w:tr>
        <w:tc>
          <w:tcPr>
            <w:tcW w:type="dxa" w:w="5112"/>
          </w:tcPr>
          <w:p>
            <w:r>
              <w:t>Contracts</w:t>
            </w:r>
          </w:p>
        </w:tc>
        <w:tc>
          <w:tcPr>
            <w:tcW w:type="dxa" w:w="5112"/>
          </w:tcPr>
          <w:p>
            <w:r>
              <w:t>docs/compliance/evidence/annex-b-items-4-14-section-05-evidence-contract-v1.json and report sample/catalog manifests.</w:t>
            </w:r>
          </w:p>
        </w:tc>
      </w:tr>
    </w:tbl>
    <w:p/>
    <w:p>
      <w:pPr>
        <w:pStyle w:val="Heading1"/>
      </w:pPr>
      <w:r>
        <w:t>3. Requirement and acceptance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  <w:color w:val="1F4E79"/>
              </w:rPr>
              <w:t>Result</w:t>
            </w:r>
          </w:p>
        </w:tc>
        <w:tc>
          <w:tcPr>
            <w:tcW w:type="dxa" w:w="3408"/>
          </w:tcPr>
          <w:p>
            <w:r>
              <w:rPr>
                <w:b/>
                <w:color w:val="1F4E79"/>
              </w:rPr>
              <w:t>Verification</w:t>
            </w:r>
          </w:p>
        </w:tc>
      </w:tr>
      <w:tr>
        <w:tc>
          <w:tcPr>
            <w:tcW w:type="dxa" w:w="3408"/>
          </w:tcPr>
          <w:p>
            <w:r>
              <w:t>FR-404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Versioned, deterministic, escaped, sequenced, trailer-checksummed serializer.</w:t>
            </w:r>
          </w:p>
        </w:tc>
      </w:tr>
      <w:tr>
        <w:tc>
          <w:tcPr>
            <w:tcW w:type="dxa" w:w="3408"/>
          </w:tcPr>
          <w:p>
            <w:r>
              <w:t>FR-405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Summary, raw text, hard-copy, HTML, and manifest projections.</w:t>
            </w:r>
          </w:p>
        </w:tc>
      </w:tr>
      <w:tr>
        <w:tc>
          <w:tcPr>
            <w:tcW w:type="dxa" w:w="3408"/>
          </w:tcPr>
          <w:p>
            <w:r>
              <w:t>REP-401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Registry-backed catalog declares source, owner, filters, timezone, formats, and applicability.</w:t>
            </w:r>
          </w:p>
        </w:tc>
      </w:tr>
      <w:tr>
        <w:tc>
          <w:tcPr>
            <w:tcW w:type="dxa" w:w="3408"/>
          </w:tcPr>
          <w:p>
            <w:r>
              <w:t>REP-402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POS reviewer tab exposes catalog and daily terminal-scoped e-journal controls.</w:t>
            </w:r>
          </w:p>
        </w:tc>
      </w:tr>
      <w:tr>
        <w:tc>
          <w:tcPr>
            <w:tcW w:type="dxa" w:w="3408"/>
          </w:tcPr>
          <w:p>
            <w:r>
              <w:t>DATA-404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Documents, lines, payments, adjustments, readings, and reprints retain stable links.</w:t>
            </w:r>
          </w:p>
        </w:tc>
      </w:tr>
      <w:tr>
        <w:tc>
          <w:tcPr>
            <w:tcW w:type="dxa" w:w="3408"/>
          </w:tcPr>
          <w:p>
            <w:r>
              <w:t>SEC-404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Permissions, branch scope, date/terminal validation, and 5,000-row rejection.</w:t>
            </w:r>
          </w:p>
        </w:tc>
      </w:tr>
      <w:tr>
        <w:tc>
          <w:tcPr>
            <w:tcW w:type="dxa" w:w="3408"/>
          </w:tcPr>
          <w:p>
            <w:r>
              <w:t>AUD-401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Catalog, success, failure, serializer rejection, and bounds outcomes are audited where available.</w:t>
            </w:r>
          </w:p>
        </w:tc>
      </w:tr>
      <w:tr>
        <w:tc>
          <w:tcPr>
            <w:tcW w:type="dxa" w:w="3408"/>
          </w:tcPr>
          <w:p>
            <w:r>
              <w:t>AC-450–AC-454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Recorded in the machine-readable Section 05 evidence contract.</w:t>
            </w:r>
          </w:p>
        </w:tc>
      </w:tr>
    </w:tbl>
    <w:p/>
    <w:p>
      <w:pPr>
        <w:pStyle w:val="Heading1"/>
      </w:pPr>
      <w:r>
        <w:t>4. Verification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color w:val="1F4E79"/>
              </w:rPr>
              <w:t>Gate</w:t>
            </w:r>
          </w:p>
        </w:tc>
        <w:tc>
          <w:tcPr>
            <w:tcW w:type="dxa" w:w="3408"/>
          </w:tcPr>
          <w:p>
            <w:r>
              <w:rPr>
                <w:b/>
                <w:color w:val="1F4E79"/>
              </w:rPr>
              <w:t>Command / method</w:t>
            </w:r>
          </w:p>
        </w:tc>
        <w:tc>
          <w:tcPr>
            <w:tcW w:type="dxa" w:w="3408"/>
          </w:tcPr>
          <w:p>
            <w:r>
              <w:rPr>
                <w:b/>
                <w:color w:val="1F4E79"/>
              </w:rPr>
              <w:t>Observed result</w:t>
            </w:r>
          </w:p>
        </w:tc>
      </w:tr>
      <w:tr>
        <w:tc>
          <w:tcPr>
            <w:tcW w:type="dxa" w:w="3408"/>
          </w:tcPr>
          <w:p>
            <w:r>
              <w:t>TEST-451 / 452</w:t>
            </w:r>
          </w:p>
        </w:tc>
        <w:tc>
          <w:tcPr>
            <w:tcW w:type="dxa" w:w="3408"/>
          </w:tcPr>
          <w:p>
            <w:r>
              <w:t>npm --prefix apps/dgfy-api test -- --runTestsByPath tests/eJournalReadiness.unit.test.js</w:t>
            </w:r>
          </w:p>
        </w:tc>
        <w:tc>
          <w:tcPr>
            <w:tcW w:type="dxa" w:w="3408"/>
          </w:tcPr>
          <w:p>
            <w:r>
              <w:t>PASS · deterministic serializer, escaping, completeness, duplicate/BOM/tamper rejection.</w:t>
            </w:r>
          </w:p>
        </w:tc>
      </w:tr>
      <w:tr>
        <w:tc>
          <w:tcPr>
            <w:tcW w:type="dxa" w:w="3408"/>
          </w:tcPr>
          <w:p>
            <w:r>
              <w:t>TEST-453 / 454 / 455</w:t>
            </w:r>
          </w:p>
        </w:tc>
        <w:tc>
          <w:tcPr>
            <w:tcW w:type="dxa" w:w="3408"/>
          </w:tcPr>
          <w:p>
            <w:r>
              <w:t>npm --prefix apps/dgfy-api test -- --runTestsByPath tests/businessAdminEvidence.usecase.test.js tests/businessAdminEvidence.transport.test.js</w:t>
            </w:r>
          </w:p>
        </w:tc>
        <w:tc>
          <w:tcPr>
            <w:tcW w:type="dxa" w:w="3408"/>
          </w:tcPr>
          <w:p>
            <w:r>
              <w:t>PASS · 3 suites, 10 tests; permission, branch, bounds, source failure, audit, transport, and retry paths.</w:t>
            </w:r>
          </w:p>
        </w:tc>
      </w:tr>
      <w:tr>
        <w:tc>
          <w:tcPr>
            <w:tcW w:type="dxa" w:w="3408"/>
          </w:tcPr>
          <w:p>
            <w:r>
              <w:t>Architecture</w:t>
            </w:r>
          </w:p>
        </w:tc>
        <w:tc>
          <w:tcPr>
            <w:tcW w:type="dxa" w:w="3408"/>
          </w:tcPr>
          <w:p>
            <w:r>
              <w:t>npm run check:architecture:dgfy-api</w:t>
            </w:r>
          </w:p>
        </w:tc>
        <w:tc>
          <w:tcPr>
            <w:tcW w:type="dxa" w:w="3408"/>
          </w:tcPr>
          <w:p>
            <w:r>
              <w:t>PASS · architecture guardrails and controller-boundary checks.</w:t>
            </w:r>
          </w:p>
        </w:tc>
      </w:tr>
      <w:tr>
        <w:tc>
          <w:tcPr>
            <w:tcW w:type="dxa" w:w="3408"/>
          </w:tcPr>
          <w:p>
            <w:r>
              <w:t>POS build</w:t>
            </w:r>
          </w:p>
        </w:tc>
        <w:tc>
          <w:tcPr>
            <w:tcW w:type="dxa" w:w="3408"/>
          </w:tcPr>
          <w:p>
            <w:r>
              <w:t>npm --prefix apps/dgfy-pos run build</w:t>
            </w:r>
          </w:p>
        </w:tc>
        <w:tc>
          <w:tcPr>
            <w:tcW w:type="dxa" w:w="3408"/>
          </w:tcPr>
          <w:p>
            <w:r>
              <w:t>PASS · Vite production build; existing dynamic-import chunk warnings are non-blocking.</w:t>
            </w:r>
          </w:p>
        </w:tc>
      </w:tr>
      <w:tr>
        <w:tc>
          <w:tcPr>
            <w:tcW w:type="dxa" w:w="3408"/>
          </w:tcPr>
          <w:p>
            <w:r>
              <w:t>Runtime smoke</w:t>
            </w:r>
          </w:p>
        </w:tc>
        <w:tc>
          <w:tcPr>
            <w:tcW w:type="dxa" w:w="3408"/>
          </w:tcPr>
          <w:p>
            <w:r>
              <w:t>buildEJournalExportPackage + validateEJournalText on a sanitized fiscal snapshot</w:t>
            </w:r>
          </w:p>
        </w:tc>
        <w:tc>
          <w:tcPr>
            <w:tcW w:type="dxa" w:w="3408"/>
          </w:tcPr>
          <w:p>
            <w:r>
              <w:t>PASS · valid trailer checksum and deterministic summary.</w:t>
            </w:r>
          </w:p>
        </w:tc>
      </w:tr>
      <w:tr>
        <w:tc>
          <w:tcPr>
            <w:tcW w:type="dxa" w:w="3408"/>
          </w:tcPr>
          <w:p>
            <w:r>
              <w:t>Final contract</w:t>
            </w:r>
          </w:p>
        </w:tc>
        <w:tc>
          <w:tcPr>
            <w:tcW w:type="dxa" w:w="3408"/>
          </w:tcPr>
          <w:p>
            <w:r>
              <w:t>npm run check:annex-b-section-05 and npm run test:annex-b-section-05</w:t>
            </w:r>
          </w:p>
        </w:tc>
        <w:tc>
          <w:tcPr>
            <w:tcW w:type="dxa" w:w="3408"/>
          </w:tcPr>
          <w:p>
            <w:r>
              <w:t>Required final gate after source/document hashes are bound.</w:t>
            </w:r>
          </w:p>
        </w:tc>
      </w:tr>
    </w:tbl>
    <w:p/>
    <w:p>
      <w:pPr>
        <w:pStyle w:val="Heading1"/>
      </w:pPr>
      <w:r>
        <w:t>5. Data integrity, security, and rollback</w:t>
      </w:r>
    </w:p>
    <w:p>
      <w:pPr>
        <w:pStyle w:val="ListBullet"/>
      </w:pPr>
      <w:r>
        <w:t>Missing or tampered fiscal snapshots are rejected; fiscal values are not reconstructed from mutable catalog/settings data.</w:t>
      </w:r>
    </w:p>
    <w:p>
      <w:pPr>
        <w:pStyle w:val="ListBullet"/>
      </w:pPr>
      <w:r>
        <w:t>The trailer hashes the UTF-8 bytes through the final LF before the trailer; the manifest repeats filename, version, record count, date, and checksum.</w:t>
      </w:r>
    </w:p>
    <w:p>
      <w:pPr>
        <w:pStyle w:val="ListBullet"/>
      </w:pPr>
      <w:r>
        <w:t>The hard-copy projection links to the raw source filename and checksum; it is not a second fiscal ledger.</w:t>
      </w:r>
    </w:p>
    <w:p>
      <w:pPr>
        <w:pStyle w:val="ListBullet"/>
      </w:pPr>
      <w:r>
        <w:t>No database migration or historical-record mutation is introduced by Section 05.</w:t>
      </w:r>
    </w:p>
    <w:p>
      <w:pPr>
        <w:pStyle w:val="ListBullet"/>
      </w:pPr>
      <w:r>
        <w:t>Rollback is code-only: remove the Section 05 routes, use cases, serializer, reviewer tab, and evidence artifacts, then restore the prior POS build.</w:t>
      </w:r>
    </w:p>
    <w:p>
      <w:pPr>
        <w:pStyle w:val="ListBullet"/>
      </w:pPr>
      <w:r>
        <w:t>Source failures and oversized scopes are audited and rejected without partial output; repeating a successful read is deterministic for the same source revision.</w:t>
      </w:r>
    </w:p>
    <w:p>
      <w:pPr>
        <w:pStyle w:val="Heading1"/>
      </w:pPr>
      <w:r>
        <w:t>6. Evidence inventory and remaining review</w:t>
      </w:r>
    </w:p>
    <w:p>
      <w:pPr>
        <w:pStyle w:val="ListBullet"/>
      </w:pPr>
      <w:r>
        <w:t>docs/compliance/evidence/annex-b-items-4-14-section-05-evidence-contract-v1.json</w:t>
      </w:r>
    </w:p>
    <w:p>
      <w:pPr>
        <w:pStyle w:val="ListBullet"/>
      </w:pPr>
      <w:r>
        <w:t>docs/compliance/evidence/annex-b-items-4-14-section-05-report-sample-fixtures-v1.json</w:t>
      </w:r>
    </w:p>
    <w:p>
      <w:pPr>
        <w:pStyle w:val="ListBullet"/>
      </w:pPr>
      <w:r>
        <w:t>docs/compliance/evidence/annex-b-items-4-14-section-05-report-catalog-v1.json</w:t>
      </w:r>
    </w:p>
    <w:p>
      <w:pPr>
        <w:pStyle w:val="ListBullet"/>
      </w:pPr>
      <w:r>
        <w:t>docs/compliance/evidence/annex-b-items-4-14-section-05-evidence-contract-v1.md</w:t>
      </w:r>
    </w:p>
    <w:p>
      <w:pPr>
        <w:pStyle w:val="ListBullet"/>
      </w:pPr>
      <w:r>
        <w:t>docs/compliance/impact-declarations/2026-10-03-pos-bir-annex-b-items-4-14-section-05.md</w:t>
      </w:r>
    </w:p>
    <w:p>
      <w:pPr>
        <w:pStyle w:val="ListBullet"/>
      </w:pPr>
      <w:r>
        <w:t>apps/dgfy-api/tests/eJournalReadiness.unit.test.js</w:t>
      </w:r>
    </w:p>
    <w:p>
      <w:pPr>
        <w:pStyle w:val="ListBullet"/>
      </w:pPr>
      <w:r>
        <w:t>apps/dgfy-api/tests/businessAdminEvidence.usecase.test.js</w:t>
      </w:r>
    </w:p>
    <w:p>
      <w:pPr>
        <w:pStyle w:val="ListBullet"/>
      </w:pPr>
      <w:r>
        <w:t>apps/dgfy-api/tests/businessAdminEvidence.transport.test.js</w:t>
      </w:r>
    </w:p>
    <w:p>
      <w:r>
        <w:t>The local implementation is ready for the next internal phase. It is not evidence that an external authority has accepted the grammar or that a deployed environment has passed QA. Those remain separate review and release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Local readiness evidence only · External BIR/provider review remains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DGFY POS · Annex B Items 4–14 · Section 05 execution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