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i w:val="0"/>
          <w:color w:val="0F2D4E"/>
          <w:sz w:val="44"/>
        </w:rPr>
        <w:t>POS Delivery Provider Payment Breakdown</w:t>
      </w:r>
    </w:p>
    <w:p>
      <w:pPr>
        <w:spacing w:after="80"/>
      </w:pPr>
      <w:r>
        <w:rPr>
          <w:rFonts w:ascii="Aptos" w:hAnsi="Aptos"/>
          <w:b/>
          <w:i w:val="0"/>
          <w:color w:val="1A5B7E"/>
          <w:sz w:val="24"/>
        </w:rPr>
        <w:t>Section 01  |  Objective and Current State</w:t>
      </w:r>
    </w:p>
    <w:p>
      <w:r>
        <w:rPr>
          <w:rFonts w:ascii="Aptos" w:hAnsi="Aptos"/>
          <w:b w:val="0"/>
          <w:i/>
          <w:color w:val="475569"/>
          <w:sz w:val="21"/>
        </w:rPr>
        <w:t>Describes the current checkout-to-report flow, the root cause of the missing provider breakdown, and the precise scope boundary for implementation.</w:t>
      </w:r>
    </w:p>
    <w:tbl>
      <w:tblPr>
        <w:tblW w:type="auto" w:w="0"/>
        <w:jc w:val="left"/>
        <w:tblLayout w:type="autofit"/>
        <w:tblLook w:firstColumn="1" w:firstRow="1" w:lastColumn="0" w:lastRow="0" w:noHBand="0" w:noVBand="1" w:val="04A0"/>
      </w:tblPr>
      <w:tblGrid>
        <w:gridCol w:w="4997"/>
        <w:gridCol w:w="4997"/>
      </w:tblGrid>
      <w:tr>
        <w:tc>
          <w:tcPr>
            <w:tcW w:type="dxa" w:w="4997"/>
            <w:shd w:fill="EAF2F8"/>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i w:val="0"/>
                <w:color w:val="0F172A"/>
                <w:sz w:val="19"/>
              </w:rPr>
              <w:t>Project Name</w:t>
            </w:r>
          </w:p>
        </w:tc>
        <w:tc>
          <w:tcPr>
            <w:tcW w:type="dxa" w:w="4997"/>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val="0"/>
                <w:i w:val="0"/>
                <w:color w:val="0F172A"/>
                <w:sz w:val="19"/>
              </w:rPr>
              <w:t>POS Delivery Provider Payment Breakdown</w:t>
            </w:r>
          </w:p>
        </w:tc>
      </w:tr>
      <w:tr>
        <w:tc>
          <w:tcPr>
            <w:tcW w:type="dxa" w:w="4997"/>
            <w:shd w:fill="EAF2F8"/>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i w:val="0"/>
                <w:color w:val="0F172A"/>
                <w:sz w:val="19"/>
              </w:rPr>
              <w:t>Plan Version</w:t>
            </w:r>
          </w:p>
        </w:tc>
        <w:tc>
          <w:tcPr>
            <w:tcW w:type="dxa" w:w="4997"/>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val="0"/>
                <w:i w:val="0"/>
                <w:color w:val="0F172A"/>
                <w:sz w:val="19"/>
              </w:rPr>
              <w:t>v1.0</w:t>
            </w:r>
          </w:p>
        </w:tc>
      </w:tr>
      <w:tr>
        <w:tc>
          <w:tcPr>
            <w:tcW w:type="dxa" w:w="4997"/>
            <w:shd w:fill="EAF2F8"/>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i w:val="0"/>
                <w:color w:val="0F172A"/>
                <w:sz w:val="19"/>
              </w:rPr>
              <w:t>Section Number / Title</w:t>
            </w:r>
          </w:p>
        </w:tc>
        <w:tc>
          <w:tcPr>
            <w:tcW w:type="dxa" w:w="4997"/>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val="0"/>
                <w:i w:val="0"/>
                <w:color w:val="0F172A"/>
                <w:sz w:val="19"/>
              </w:rPr>
              <w:t>01 / Objective and Current State</w:t>
            </w:r>
          </w:p>
        </w:tc>
      </w:tr>
      <w:tr>
        <w:tc>
          <w:tcPr>
            <w:tcW w:type="dxa" w:w="4997"/>
            <w:shd w:fill="EAF2F8"/>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i w:val="0"/>
                <w:color w:val="0F172A"/>
                <w:sz w:val="19"/>
              </w:rPr>
              <w:t>Baseline</w:t>
            </w:r>
          </w:p>
        </w:tc>
        <w:tc>
          <w:tcPr>
            <w:tcW w:type="dxa" w:w="4997"/>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val="0"/>
                <w:i w:val="0"/>
                <w:color w:val="0F172A"/>
                <w:sz w:val="19"/>
              </w:rPr>
              <w:t>StagingPOS @ 8b879d4b5 (2026-10-02)</w:t>
            </w:r>
          </w:p>
        </w:tc>
      </w:tr>
      <w:tr>
        <w:tc>
          <w:tcPr>
            <w:tcW w:type="dxa" w:w="4997"/>
            <w:shd w:fill="EAF2F8"/>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i w:val="0"/>
                <w:color w:val="0F172A"/>
                <w:sz w:val="19"/>
              </w:rPr>
              <w:t>Repository / Worktree</w:t>
            </w:r>
          </w:p>
        </w:tc>
        <w:tc>
          <w:tcPr>
            <w:tcW w:type="dxa" w:w="4997"/>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val="0"/>
                <w:i w:val="0"/>
                <w:color w:val="0F172A"/>
                <w:sz w:val="19"/>
              </w:rPr>
              <w:t>C:\xampp\htdocs\POS-DGFY\.worktrees\StagingPOS</w:t>
            </w:r>
          </w:p>
        </w:tc>
      </w:tr>
      <w:tr>
        <w:tc>
          <w:tcPr>
            <w:tcW w:type="dxa" w:w="4997"/>
            <w:shd w:fill="EAF2F8"/>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i w:val="0"/>
                <w:color w:val="0F172A"/>
                <w:sz w:val="19"/>
              </w:rPr>
              <w:t>Dependencies</w:t>
            </w:r>
          </w:p>
        </w:tc>
        <w:tc>
          <w:tcPr>
            <w:tcW w:type="dxa" w:w="4997"/>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val="0"/>
                <w:i w:val="0"/>
                <w:color w:val="0F172A"/>
                <w:sz w:val="19"/>
              </w:rPr>
              <w:t>Section 00; current POS/API source inspection; ADR 0029, ADR 0031, ADR 0063.</w:t>
            </w:r>
          </w:p>
        </w:tc>
      </w:tr>
    </w:tbl>
    <w:p/>
    <w:p>
      <w:pPr>
        <w:pStyle w:val="Heading1"/>
      </w:pPr>
      <w:r>
        <w:t>Purpose</w:t>
      </w:r>
    </w:p>
    <w:p>
      <w:r>
        <w:rPr>
          <w:rFonts w:ascii="Aptos" w:hAnsi="Aptos"/>
          <w:b w:val="0"/>
          <w:i w:val="0"/>
          <w:sz w:val="21"/>
        </w:rPr>
        <w:t>Describes the current checkout-to-report flow, the root cause of the missing provider breakdown, and the precise scope boundary for implementation.</w:t>
      </w:r>
    </w:p>
    <w:p>
      <w:pPr>
        <w:pStyle w:val="Heading1"/>
      </w:pPr>
      <w:r>
        <w:t>Confirmed Facts</w:t>
      </w:r>
    </w:p>
    <w:p>
      <w:pPr>
        <w:pStyle w:val="ListBullet"/>
      </w:pPr>
      <w:r>
        <w:rPr>
          <w:rFonts w:ascii="Aptos" w:hAnsi="Aptos"/>
          <w:b w:val="0"/>
          <w:i w:val="0"/>
          <w:sz w:val="20"/>
        </w:rPr>
        <w:t>CONFIRMED: The POS F&amp;B flow already has an order_method value of delivery in packages/web-core/src/features/pos/components/FnbWorkflowPanel.jsx and related hooks.</w:t>
      </w:r>
    </w:p>
    <w:p>
      <w:pPr>
        <w:pStyle w:val="ListBullet"/>
      </w:pPr>
      <w:r>
        <w:rPr>
          <w:rFonts w:ascii="Aptos" w:hAnsi="Aptos"/>
          <w:b w:val="0"/>
          <w:i w:val="0"/>
          <w:sz w:val="20"/>
        </w:rPr>
        <w:t>CONFIRMED: The current checkout dialog's generic Payment Type options are cash, GCash, Maya, Card, Bank Transfer, and Employee Credit; Foodpanda and Grab are not current direct checkout payment types.</w:t>
      </w:r>
    </w:p>
    <w:p>
      <w:pPr>
        <w:pStyle w:val="ListBullet"/>
      </w:pPr>
      <w:r>
        <w:rPr>
          <w:rFonts w:ascii="Aptos" w:hAnsi="Aptos"/>
          <w:b w:val="0"/>
          <w:i w:val="0"/>
          <w:sz w:val="20"/>
        </w:rPr>
        <w:t>CONFIRMED: The backend checkout validator accepts generic payment_type values and does not currently accept a delivery-provider breakdown field.</w:t>
      </w:r>
    </w:p>
    <w:p>
      <w:pPr>
        <w:pStyle w:val="ListBullet"/>
      </w:pPr>
      <w:r>
        <w:rPr>
          <w:rFonts w:ascii="Aptos" w:hAnsi="Aptos"/>
          <w:b w:val="0"/>
          <w:i w:val="0"/>
          <w:sz w:val="20"/>
        </w:rPr>
        <w:t>CONFIRMED: Completed transactions already persist an immutable generic payment_breakdown snapshot used by receipts and reporting.</w:t>
      </w:r>
    </w:p>
    <w:p>
      <w:pPr>
        <w:pStyle w:val="ListBullet"/>
      </w:pPr>
      <w:r>
        <w:rPr>
          <w:rFonts w:ascii="Aptos" w:hAnsi="Aptos"/>
          <w:b w:val="0"/>
          <w:i w:val="0"/>
          <w:sz w:val="20"/>
        </w:rPr>
        <w:t>CONFIRMED: Z-reading details are saved immutable snapshots and are not reconstructed from mutable live transactions after close.</w:t>
      </w:r>
    </w:p>
    <w:p>
      <w:pPr>
        <w:pStyle w:val="ListBullet"/>
      </w:pPr>
      <w:r>
        <w:rPr>
          <w:rFonts w:ascii="Aptos" w:hAnsi="Aptos"/>
          <w:b w:val="0"/>
          <w:i w:val="0"/>
          <w:sz w:val="20"/>
        </w:rPr>
        <w:t>CONFIRMED: The repository has a route -&gt; controller -&gt; usecase -&gt; repository -&gt; model architecture and architecture guardrails pass at the baseline.</w:t>
      </w:r>
    </w:p>
    <w:p>
      <w:pPr>
        <w:pStyle w:val="ListBullet"/>
      </w:pPr>
      <w:r>
        <w:rPr>
          <w:rFonts w:ascii="Aptos" w:hAnsi="Aptos"/>
          <w:b w:val="0"/>
          <w:i w:val="0"/>
          <w:sz w:val="20"/>
        </w:rPr>
        <w:t>INFERRED: Foodpanda, Grab, and Other are delivery-provider classifications, not replacements for the generic tender method used for settlement and cash/tender reporting.</w:t>
      </w:r>
    </w:p>
    <w:p>
      <w:pPr>
        <w:pStyle w:val="ListBullet"/>
      </w:pPr>
      <w:r>
        <w:rPr>
          <w:rFonts w:ascii="Aptos" w:hAnsi="Aptos"/>
          <w:b w:val="0"/>
          <w:i w:val="0"/>
          <w:sz w:val="20"/>
        </w:rPr>
        <w:t>CONFIRMED: packages/web-core/src/features/pos/components/POSCheckoutConfirmDialog.jsx renders the generic Payment Type field and Total Payment amount.</w:t>
      </w:r>
    </w:p>
    <w:p>
      <w:pPr>
        <w:pStyle w:val="ListBullet"/>
      </w:pPr>
      <w:r>
        <w:rPr>
          <w:rFonts w:ascii="Aptos" w:hAnsi="Aptos"/>
          <w:b w:val="0"/>
          <w:i w:val="0"/>
          <w:sz w:val="20"/>
        </w:rPr>
        <w:t>CONFIRMED: packages/web-core/src/features/pos/hooks/usePosCheckoutWorkflow.js builds the direct checkout payload with order_method, payment_type, payment_handoff_mode, cash_received, change_amount, discounts, and lines.</w:t>
      </w:r>
    </w:p>
    <w:p>
      <w:pPr>
        <w:pStyle w:val="ListBullet"/>
      </w:pPr>
      <w:r>
        <w:rPr>
          <w:rFonts w:ascii="Aptos" w:hAnsi="Aptos"/>
          <w:b w:val="0"/>
          <w:i w:val="0"/>
          <w:sz w:val="20"/>
        </w:rPr>
        <w:t>CONFIRMED: apps/dgfy-api/src/modules/pos/usecases/posUseCases.js creates a generic payment_breakdown fallback when a split-payment session is not used.</w:t>
      </w:r>
    </w:p>
    <w:p>
      <w:pPr>
        <w:pStyle w:val="ListBullet"/>
      </w:pPr>
      <w:r>
        <w:rPr>
          <w:rFonts w:ascii="Aptos" w:hAnsi="Aptos"/>
          <w:b w:val="0"/>
          <w:i w:val="0"/>
          <w:sz w:val="20"/>
        </w:rPr>
        <w:t>CONFIRMED: apps/dgfy-api/src/modules/pos/repositories/posRepository.js derives generic payment groups for reports and Z-reading, with unknown groups tending to the generic Online label.</w:t>
      </w:r>
    </w:p>
    <w:p>
      <w:pPr>
        <w:pStyle w:val="ListBullet"/>
      </w:pPr>
      <w:r>
        <w:rPr>
          <w:rFonts w:ascii="Aptos" w:hAnsi="Aptos"/>
          <w:b w:val="0"/>
          <w:i w:val="0"/>
          <w:sz w:val="20"/>
        </w:rPr>
        <w:t>CONFIRMED: packages/web-core/src/features/pos/components/ZReadingPrintView.jsx, ShiftCloseSummaryPrintView.jsx, and iminHardwareBridge.js render the existing generic payment breakdown.</w:t>
      </w:r>
    </w:p>
    <w:p>
      <w:pPr>
        <w:pStyle w:val="Heading1"/>
      </w:pPr>
      <w:r>
        <w:t>Assumptions and Unknowns</w:t>
      </w:r>
    </w:p>
    <w:p>
      <w:pPr>
        <w:pStyle w:val="ListBullet"/>
      </w:pPr>
      <w:r>
        <w:rPr>
          <w:rFonts w:ascii="Aptos" w:hAnsi="Aptos"/>
          <w:b w:val="0"/>
          <w:i w:val="0"/>
          <w:sz w:val="20"/>
        </w:rPr>
        <w:t>INFERRED: The visible defect is not only a missing UI choice; it is an end-to-end data-contract gap because the current checkout payload and transaction snapshot have no durable delivery-provider field.</w:t>
      </w:r>
    </w:p>
    <w:p>
      <w:pPr>
        <w:pStyle w:val="ListBullet"/>
      </w:pPr>
      <w:r>
        <w:rPr>
          <w:rFonts w:ascii="Aptos" w:hAnsi="Aptos"/>
          <w:b w:val="0"/>
          <w:i w:val="0"/>
          <w:sz w:val="20"/>
        </w:rPr>
        <w:t>ASSUMED: The desired report view is a provider breakdown in addition to existing payment/tender totals, not a replacement for cash/GCash/card reporting.</w:t>
      </w:r>
    </w:p>
    <w:p>
      <w:pPr>
        <w:pStyle w:val="ListBullet"/>
      </w:pPr>
      <w:r>
        <w:rPr>
          <w:rFonts w:ascii="Aptos" w:hAnsi="Aptos"/>
          <w:b w:val="0"/>
          <w:i w:val="0"/>
          <w:sz w:val="20"/>
        </w:rPr>
        <w:t>UNKNOWN: Whether Foodpanda or Grab values should be tied to configured delivery partners or remain simple cashier-entered operational classifications. The plan keeps them canonical and does not add provider credentials or external verification.</w:t>
      </w:r>
    </w:p>
    <w:p>
      <w:pPr>
        <w:pStyle w:val="Heading1"/>
      </w:pPr>
      <w:r>
        <w:t>Requirements Covered</w:t>
      </w:r>
    </w:p>
    <w:p>
      <w:pPr>
        <w:pStyle w:val="ListBullet"/>
      </w:pPr>
      <w:r>
        <w:rPr>
          <w:rFonts w:ascii="Aptos" w:hAnsi="Aptos"/>
          <w:b w:val="0"/>
          <w:i w:val="0"/>
          <w:sz w:val="20"/>
        </w:rPr>
        <w:t>FR-001, FR-003, FR-005, FR-006, FR-007, FR-008.</w:t>
      </w:r>
    </w:p>
    <w:p>
      <w:pPr>
        <w:pStyle w:val="ListBullet"/>
      </w:pPr>
      <w:r>
        <w:rPr>
          <w:rFonts w:ascii="Aptos" w:hAnsi="Aptos"/>
          <w:b w:val="0"/>
          <w:i w:val="0"/>
          <w:sz w:val="20"/>
        </w:rPr>
        <w:t>BR-001, BR-007, BR-008, BR-009, BR-010.</w:t>
      </w:r>
    </w:p>
    <w:p>
      <w:pPr>
        <w:pStyle w:val="ListBullet"/>
      </w:pPr>
      <w:r>
        <w:rPr>
          <w:rFonts w:ascii="Aptos" w:hAnsi="Aptos"/>
          <w:b w:val="0"/>
          <w:i w:val="0"/>
          <w:sz w:val="20"/>
        </w:rPr>
        <w:t>DATA-001, DATA-002, DATA-003.</w:t>
      </w:r>
    </w:p>
    <w:p>
      <w:pPr>
        <w:pStyle w:val="ListBullet"/>
      </w:pPr>
      <w:r>
        <w:rPr>
          <w:rFonts w:ascii="Aptos" w:hAnsi="Aptos"/>
          <w:b w:val="0"/>
          <w:i w:val="0"/>
          <w:sz w:val="20"/>
        </w:rPr>
        <w:t>REP-001, REP-002, REP-003, REP-004, REP-005.</w:t>
      </w:r>
    </w:p>
    <w:p>
      <w:pPr>
        <w:pStyle w:val="Heading1"/>
      </w:pPr>
      <w:r>
        <w:t>Plan Content</w:t>
      </w:r>
    </w:p>
    <w:p>
      <w:pPr>
        <w:pStyle w:val="Heading2"/>
      </w:pPr>
      <w:r>
        <w:t>Current flow</w:t>
      </w:r>
    </w:p>
    <w:p>
      <w:pPr>
        <w:pStyle w:val="ListNumber"/>
      </w:pPr>
      <w:r>
        <w:rPr>
          <w:rFonts w:ascii="Aptos" w:hAnsi="Aptos"/>
          <w:b w:val="0"/>
          <w:i w:val="0"/>
          <w:sz w:val="20"/>
        </w:rPr>
        <w:t>Cashier chooses the F&amp;B order method in FnbWorkflowPanel; Delivery is already one of the four supported order methods.</w:t>
      </w:r>
    </w:p>
    <w:p>
      <w:pPr>
        <w:pStyle w:val="ListNumber"/>
      </w:pPr>
      <w:r>
        <w:rPr>
          <w:rFonts w:ascii="Aptos" w:hAnsi="Aptos"/>
          <w:b w:val="0"/>
          <w:i w:val="0"/>
          <w:sz w:val="20"/>
        </w:rPr>
        <w:t>Cashier opens POSCheckoutConfirmDialog. The dialog renders the existing generic Payment Type choices and the Total Payment input.</w:t>
      </w:r>
    </w:p>
    <w:p>
      <w:pPr>
        <w:pStyle w:val="ListNumber"/>
      </w:pPr>
      <w:r>
        <w:rPr>
          <w:rFonts w:ascii="Aptos" w:hAnsi="Aptos"/>
          <w:b w:val="0"/>
          <w:i w:val="0"/>
          <w:sz w:val="20"/>
        </w:rPr>
        <w:t>usePosCheckoutWorkflow builds POST /pos/checkouts data with the generic payment_type and order_method. No delivery provider name or provider amount is sent.</w:t>
      </w:r>
    </w:p>
    <w:p>
      <w:pPr>
        <w:pStyle w:val="ListNumber"/>
      </w:pPr>
      <w:r>
        <w:rPr>
          <w:rFonts w:ascii="Aptos" w:hAnsi="Aptos"/>
          <w:b w:val="0"/>
          <w:i w:val="0"/>
          <w:sz w:val="20"/>
        </w:rPr>
        <w:t>The API validator accepts the generic payment_type values; the usecase calculates the server total, applies discount and checkout rules, and creates a generic payment_breakdown snapshot.</w:t>
      </w:r>
    </w:p>
    <w:p>
      <w:pPr>
        <w:pStyle w:val="ListNumber"/>
      </w:pPr>
      <w:r>
        <w:rPr>
          <w:rFonts w:ascii="Aptos" w:hAnsi="Aptos"/>
          <w:b w:val="0"/>
          <w:i w:val="0"/>
          <w:sz w:val="20"/>
        </w:rPr>
        <w:t>The repository persists the transaction and its lines. Reports and Z-reading aggregate the generic snapshot or legacy header payment_type.</w:t>
      </w:r>
    </w:p>
    <w:p>
      <w:pPr>
        <w:pStyle w:val="ListNumber"/>
      </w:pPr>
      <w:r>
        <w:rPr>
          <w:rFonts w:ascii="Aptos" w:hAnsi="Aptos"/>
          <w:b w:val="0"/>
          <w:i w:val="0"/>
          <w:sz w:val="20"/>
        </w:rPr>
        <w:t>Browser print, shift-close print, and iMin output format the generic payment breakdown; none can show Foodpanda, Grab, or an Other provider name because the source data does not exist.</w:t>
      </w:r>
    </w:p>
    <w:p>
      <w:pPr>
        <w:pStyle w:val="Heading2"/>
      </w:pPr>
      <w:r>
        <w:t>Root cause</w:t>
      </w:r>
    </w:p>
    <w:p>
      <w:r>
        <w:rPr>
          <w:rFonts w:ascii="Aptos" w:hAnsi="Aptos"/>
          <w:b w:val="0"/>
          <w:i w:val="0"/>
          <w:sz w:val="21"/>
        </w:rPr>
        <w:t>The current implementation has a payment/tender contract but no delivery-provider classification contract. The generic payment_breakdown utility intentionally normalizes methods into Cash, GCash, Maya, Card, Bank Transfer, Employee Credit, and Other. Putting Foodpanda or Grab into that utility would lose the provider identity or mislabel it as Online. The correct root fix is an additive, immutable delivery-provider snapshot that travels with the transaction and is read by every financial output surface.</w:t>
      </w:r>
    </w:p>
    <w:p>
      <w:pPr>
        <w:pStyle w:val="Heading2"/>
      </w:pPr>
      <w:r>
        <w:t>Critical assessment</w:t>
      </w:r>
    </w:p>
    <w:tbl>
      <w:tblPr>
        <w:tblW w:type="auto" w:w="0"/>
        <w:jc w:val="left"/>
        <w:tblLayout w:type="autofit"/>
        <w:tblLook w:firstColumn="1" w:firstRow="1" w:lastColumn="0" w:lastRow="0" w:noHBand="0" w:noVBand="1" w:val="04A0"/>
      </w:tblPr>
      <w:tblGrid>
        <w:gridCol w:w="3331"/>
        <w:gridCol w:w="3331"/>
        <w:gridCol w:w="3331"/>
      </w:tblGrid>
      <w:tr>
        <w:trPr>
          <w:tblHeader/>
          <w:cantSplit/>
        </w:trPr>
        <w:tc>
          <w:tcPr>
            <w:tcW w:type="dxa" w:w="3331"/>
            <w:shd w:fill="0F4167"/>
            <w:tcMar>
              <w:top w:w="100" w:type="dxa"/>
              <w:start w:w="100" w:type="dxa"/>
              <w:bottom w:w="100" w:type="dxa"/>
              <w:end w:w="100" w:type="dxa"/>
            </w:tcMar>
            <w:vAlign w:val="center"/>
          </w:tcPr>
          <w:p>
            <w:r>
              <w:rPr>
                <w:rFonts w:ascii="Aptos" w:hAnsi="Aptos"/>
                <w:b/>
                <w:i w:val="0"/>
                <w:color w:val="FFFFFF"/>
                <w:sz w:val="18"/>
              </w:rPr>
              <w:t>Issue</w:t>
            </w:r>
          </w:p>
        </w:tc>
        <w:tc>
          <w:tcPr>
            <w:tcW w:type="dxa" w:w="3331"/>
            <w:shd w:fill="0F4167"/>
            <w:tcMar>
              <w:top w:w="100" w:type="dxa"/>
              <w:start w:w="100" w:type="dxa"/>
              <w:bottom w:w="100" w:type="dxa"/>
              <w:end w:w="100" w:type="dxa"/>
            </w:tcMar>
            <w:vAlign w:val="center"/>
          </w:tcPr>
          <w:p>
            <w:r>
              <w:rPr>
                <w:rFonts w:ascii="Aptos" w:hAnsi="Aptos"/>
                <w:b/>
                <w:i w:val="0"/>
                <w:color w:val="FFFFFF"/>
                <w:sz w:val="18"/>
              </w:rPr>
              <w:t>Why it matters</w:t>
            </w:r>
          </w:p>
        </w:tc>
        <w:tc>
          <w:tcPr>
            <w:tcW w:type="dxa" w:w="3331"/>
            <w:shd w:fill="0F4167"/>
            <w:tcMar>
              <w:top w:w="100" w:type="dxa"/>
              <w:start w:w="100" w:type="dxa"/>
              <w:bottom w:w="100" w:type="dxa"/>
              <w:end w:w="100" w:type="dxa"/>
            </w:tcMar>
            <w:vAlign w:val="center"/>
          </w:tcPr>
          <w:p>
            <w:r>
              <w:rPr>
                <w:rFonts w:ascii="Aptos" w:hAnsi="Aptos"/>
                <w:b/>
                <w:i w:val="0"/>
                <w:color w:val="FFFFFF"/>
                <w:sz w:val="18"/>
              </w:rPr>
              <w:t>Plan response</w:t>
            </w:r>
          </w:p>
        </w:tc>
      </w:tr>
      <w:tr>
        <w:trPr>
          <w:cantSplit/>
        </w:trPr>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Provider vs tender conflation</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A delivery provider is not necessarily the settlement tender. Replacing payment_type would distort reconciliation and split payment.</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Keep payment_type/payment_breakdown for tender; add a delivery-provider block.</w:t>
            </w:r>
          </w:p>
        </w:tc>
      </w:tr>
      <w:tr>
        <w:trPr>
          <w:cantSplit/>
        </w:trPr>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Example cardinality</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Grab = 180 and Maxim = 90 could be one split sale or two sales.</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Use a repeatable provider snapshot and record D-001 before coding.</w:t>
            </w:r>
          </w:p>
        </w:tc>
      </w:tr>
      <w:tr>
        <w:trPr>
          <w:cantSplit/>
        </w:trPr>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Historical output</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Z-reading is immutable after close.</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Snapshot provider label/name/amount at completion and never re-read mutable configuration for old transactions.</w:t>
            </w:r>
          </w:p>
        </w:tc>
      </w:tr>
      <w:tr>
        <w:trPr>
          <w:cantSplit/>
        </w:trPr>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Report double counting</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Provider totals could be mistaken for additional sales.</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Render provider totals as a classification breakdown; sales totals remain transaction totals.</w:t>
            </w:r>
          </w:p>
        </w:tc>
      </w:tr>
      <w:tr>
        <w:trPr>
          <w:cantSplit/>
        </w:trPr>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Legacy records</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Old transactions have no provider field.</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Nullable/additive field; legacy rows display no provider breakdown and remain reportable.</w:t>
            </w:r>
          </w:p>
        </w:tc>
      </w:tr>
    </w:tbl>
    <w:p/>
    <w:p>
      <w:pPr>
        <w:pStyle w:val="Heading2"/>
      </w:pPr>
      <w:r>
        <w:t>Target flow</w:t>
      </w:r>
    </w:p>
    <w:p>
      <w:pPr>
        <w:pStyle w:val="ListNumber"/>
      </w:pPr>
      <w:r>
        <w:rPr>
          <w:rFonts w:ascii="Aptos" w:hAnsi="Aptos"/>
          <w:b w:val="0"/>
          <w:i w:val="0"/>
          <w:sz w:val="20"/>
        </w:rPr>
        <w:t>Cashier selects Delivery. A Delivery Provider section appears next to the existing Total Payment/tender section with exactly Foodpanda, Grab, and Other.</w:t>
      </w:r>
    </w:p>
    <w:p>
      <w:pPr>
        <w:pStyle w:val="ListNumber"/>
      </w:pPr>
      <w:r>
        <w:rPr>
          <w:rFonts w:ascii="Aptos" w:hAnsi="Aptos"/>
          <w:b w:val="0"/>
          <w:i w:val="0"/>
          <w:sz w:val="20"/>
        </w:rPr>
        <w:t>If Other is selected, the UI requires a provider name such as Maxim. If the approved D-001 contract permits multiple rows, the cashier may add the next provider row; each row has a provider type and amount.</w:t>
      </w:r>
    </w:p>
    <w:p>
      <w:pPr>
        <w:pStyle w:val="ListNumber"/>
      </w:pPr>
      <w:r>
        <w:rPr>
          <w:rFonts w:ascii="Aptos" w:hAnsi="Aptos"/>
          <w:b w:val="0"/>
          <w:i w:val="0"/>
          <w:sz w:val="20"/>
        </w:rPr>
        <w:t>The frontend sends a normalized delivery_provider_breakdown alongside the unchanged generic tender fields.</w:t>
      </w:r>
    </w:p>
    <w:p>
      <w:pPr>
        <w:pStyle w:val="ListNumber"/>
      </w:pPr>
      <w:r>
        <w:rPr>
          <w:rFonts w:ascii="Aptos" w:hAnsi="Aptos"/>
          <w:b w:val="0"/>
          <w:i w:val="0"/>
          <w:sz w:val="20"/>
        </w:rPr>
        <w:t>The validator enforces the enum, provider-name requirement, amount precision/range, Delivery-only scope, and row/cardinality rules.</w:t>
      </w:r>
    </w:p>
    <w:p>
      <w:pPr>
        <w:pStyle w:val="ListNumber"/>
      </w:pPr>
      <w:r>
        <w:rPr>
          <w:rFonts w:ascii="Aptos" w:hAnsi="Aptos"/>
          <w:b w:val="0"/>
          <w:i w:val="0"/>
          <w:sz w:val="20"/>
        </w:rPr>
        <w:t>The usecase recalculates the transaction total, validates provider amount conservation, includes the normalized breakdown in the idempotency fingerprint, and persists an immutable snapshot atomically with the transaction.</w:t>
      </w:r>
    </w:p>
    <w:p>
      <w:pPr>
        <w:pStyle w:val="ListNumber"/>
      </w:pPr>
      <w:r>
        <w:rPr>
          <w:rFonts w:ascii="Aptos" w:hAnsi="Aptos"/>
          <w:b w:val="0"/>
          <w:i w:val="0"/>
          <w:sz w:val="20"/>
        </w:rPr>
        <w:t>Reports, Z-reading, browser print, CSV, and iMin output read the canonical provider snapshot and display provider amounts without changing sales totals or generic tender totals.</w:t>
      </w:r>
    </w:p>
    <w:p>
      <w:pPr>
        <w:pStyle w:val="Heading2"/>
      </w:pPr>
      <w:r>
        <w:t>Scope boundary</w:t>
      </w:r>
    </w:p>
    <w:tbl>
      <w:tblPr>
        <w:tblW w:type="auto" w:w="0"/>
        <w:jc w:val="left"/>
        <w:tblLayout w:type="autofit"/>
        <w:tblLook w:firstColumn="1" w:firstRow="1" w:lastColumn="0" w:lastRow="0" w:noHBand="0" w:noVBand="1" w:val="04A0"/>
      </w:tblPr>
      <w:tblGrid>
        <w:gridCol w:w="3331"/>
        <w:gridCol w:w="3331"/>
        <w:gridCol w:w="3331"/>
      </w:tblGrid>
      <w:tr>
        <w:trPr>
          <w:tblHeader/>
          <w:cantSplit/>
        </w:trPr>
        <w:tc>
          <w:tcPr>
            <w:tcW w:type="dxa" w:w="3331"/>
            <w:shd w:fill="0F4167"/>
            <w:tcMar>
              <w:top w:w="100" w:type="dxa"/>
              <w:start w:w="100" w:type="dxa"/>
              <w:bottom w:w="100" w:type="dxa"/>
              <w:end w:w="100" w:type="dxa"/>
            </w:tcMar>
            <w:vAlign w:val="center"/>
          </w:tcPr>
          <w:p>
            <w:r>
              <w:rPr>
                <w:rFonts w:ascii="Aptos" w:hAnsi="Aptos"/>
                <w:b/>
                <w:i w:val="0"/>
                <w:color w:val="FFFFFF"/>
                <w:sz w:val="18"/>
              </w:rPr>
              <w:t>Category</w:t>
            </w:r>
          </w:p>
        </w:tc>
        <w:tc>
          <w:tcPr>
            <w:tcW w:type="dxa" w:w="3331"/>
            <w:shd w:fill="0F4167"/>
            <w:tcMar>
              <w:top w:w="100" w:type="dxa"/>
              <w:start w:w="100" w:type="dxa"/>
              <w:bottom w:w="100" w:type="dxa"/>
              <w:end w:w="100" w:type="dxa"/>
            </w:tcMar>
            <w:vAlign w:val="center"/>
          </w:tcPr>
          <w:p>
            <w:r>
              <w:rPr>
                <w:rFonts w:ascii="Aptos" w:hAnsi="Aptos"/>
                <w:b/>
                <w:i w:val="0"/>
                <w:color w:val="FFFFFF"/>
                <w:sz w:val="18"/>
              </w:rPr>
              <w:t>In scope</w:t>
            </w:r>
          </w:p>
        </w:tc>
        <w:tc>
          <w:tcPr>
            <w:tcW w:type="dxa" w:w="3331"/>
            <w:shd w:fill="0F4167"/>
            <w:tcMar>
              <w:top w:w="100" w:type="dxa"/>
              <w:start w:w="100" w:type="dxa"/>
              <w:bottom w:w="100" w:type="dxa"/>
              <w:end w:w="100" w:type="dxa"/>
            </w:tcMar>
            <w:vAlign w:val="center"/>
          </w:tcPr>
          <w:p>
            <w:r>
              <w:rPr>
                <w:rFonts w:ascii="Aptos" w:hAnsi="Aptos"/>
                <w:b/>
                <w:i w:val="0"/>
                <w:color w:val="FFFFFF"/>
                <w:sz w:val="18"/>
              </w:rPr>
              <w:t>Out of scope</w:t>
            </w:r>
          </w:p>
        </w:tc>
      </w:tr>
      <w:tr>
        <w:trPr>
          <w:cantSplit/>
        </w:trPr>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POS checkout</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Delivery provider choices, Other name, provider amounts, validation, errors, and payload.</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Changing existing non-delivery payment choices or checkout lifecycle.</w:t>
            </w:r>
          </w:p>
        </w:tc>
      </w:tr>
      <w:tr>
        <w:trPr>
          <w:cantSplit/>
        </w:trPr>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Backend</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Validation, usecase conservation, idempotency, model/repository snapshot, and report read model.</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External Foodpanda/Grab API integrations or provider settlement reconciliation.</w:t>
            </w:r>
          </w:p>
        </w:tc>
      </w:tr>
      <w:tr>
        <w:trPr>
          <w:cantSplit/>
        </w:trPr>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Reports/Z-reading</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Provider breakdown in overview, breakdowns, export, Z-reading summary/detail, browser print, iMin text.</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Redesigning all report layouts or rewriting closed Z-reading history.</w:t>
            </w:r>
          </w:p>
        </w:tc>
      </w:tr>
      <w:tr>
        <w:trPr>
          <w:cantSplit/>
        </w:trPr>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Data</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One additive tenant-schema snapshot field if needed; no destructive migration or backfill.</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New provider tables, credentials, webhooks, or payment gateway behavior.</w:t>
            </w:r>
          </w:p>
        </w:tc>
      </w:tr>
      <w:tr>
        <w:trPr>
          <w:cantSplit/>
        </w:trPr>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Apps</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POS/shared web-core and API; other apps only regression verification.</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IMS, OPIS, Storefront feature work.</w:t>
            </w:r>
          </w:p>
        </w:tc>
      </w:tr>
    </w:tbl>
    <w:p/>
    <w:p>
      <w:pPr>
        <w:pStyle w:val="Heading1"/>
      </w:pPr>
      <w:r>
        <w:t>Affected System Components</w:t>
      </w:r>
    </w:p>
    <w:p>
      <w:pPr>
        <w:pStyle w:val="ListBullet"/>
      </w:pPr>
      <w:r>
        <w:rPr>
          <w:rFonts w:ascii="Aptos" w:hAnsi="Aptos"/>
          <w:b w:val="0"/>
          <w:i w:val="0"/>
          <w:sz w:val="20"/>
        </w:rPr>
        <w:t>packages/web-core/src/features/pos/components/POSCheckoutConfirmDialog.jsx</w:t>
      </w:r>
    </w:p>
    <w:p>
      <w:pPr>
        <w:pStyle w:val="ListBullet"/>
      </w:pPr>
      <w:r>
        <w:rPr>
          <w:rFonts w:ascii="Aptos" w:hAnsi="Aptos"/>
          <w:b w:val="0"/>
          <w:i w:val="0"/>
          <w:sz w:val="20"/>
        </w:rPr>
        <w:t>packages/web-core/src/features/pos/components/FnbWorkflowPanel.jsx and PosCheckoutDetailsSlot.jsx</w:t>
      </w:r>
    </w:p>
    <w:p>
      <w:pPr>
        <w:pStyle w:val="ListBullet"/>
      </w:pPr>
      <w:r>
        <w:rPr>
          <w:rFonts w:ascii="Aptos" w:hAnsi="Aptos"/>
          <w:b w:val="0"/>
          <w:i w:val="0"/>
          <w:sz w:val="20"/>
        </w:rPr>
        <w:t>packages/web-core/src/features/pos/hooks/usePosTerminalViewModel.js, usePosFnbCheckoutState.js, and usePosCheckoutWorkflow.js</w:t>
      </w:r>
    </w:p>
    <w:p>
      <w:pPr>
        <w:pStyle w:val="ListBullet"/>
      </w:pPr>
      <w:r>
        <w:rPr>
          <w:rFonts w:ascii="Aptos" w:hAnsi="Aptos"/>
          <w:b w:val="0"/>
          <w:i w:val="0"/>
          <w:sz w:val="20"/>
        </w:rPr>
        <w:t>apps/dgfy-api/src/validators/posValidator.js, modules/pos/usecases/posUseCases.js, modules/pos/repositories/posRepository.js, and models/PosTransaction.js</w:t>
      </w:r>
    </w:p>
    <w:p>
      <w:pPr>
        <w:pStyle w:val="ListBullet"/>
      </w:pPr>
      <w:r>
        <w:rPr>
          <w:rFonts w:ascii="Aptos" w:hAnsi="Aptos"/>
          <w:b w:val="0"/>
          <w:i w:val="0"/>
          <w:sz w:val="20"/>
        </w:rPr>
        <w:t>packages/web-core/src/features/pos/components/PosReportsAnalyticsWorkspace.jsx, ZReadingPrintView.jsx, ShiftCloseSummaryPrintView.jsx, and utils/iminHardwareBridge.js</w:t>
      </w:r>
    </w:p>
    <w:p>
      <w:pPr>
        <w:pStyle w:val="Heading1"/>
      </w:pPr>
      <w:r>
        <w:t>Risks</w:t>
      </w:r>
    </w:p>
    <w:p>
      <w:pPr>
        <w:pStyle w:val="ListBullet"/>
      </w:pPr>
      <w:r>
        <w:rPr>
          <w:rFonts w:ascii="Aptos" w:hAnsi="Aptos"/>
          <w:b w:val="0"/>
          <w:i w:val="0"/>
          <w:sz w:val="20"/>
        </w:rPr>
        <w:t>Current report logic maps unknown payment groups to Online; provider data must never enter that path unnormalized.</w:t>
      </w:r>
    </w:p>
    <w:p>
      <w:pPr>
        <w:pStyle w:val="ListBullet"/>
      </w:pPr>
      <w:r>
        <w:rPr>
          <w:rFonts w:ascii="Aptos" w:hAnsi="Aptos"/>
          <w:b w:val="0"/>
          <w:i w:val="0"/>
          <w:sz w:val="20"/>
        </w:rPr>
        <w:t>Direct checkout and split-payment completion may use different code paths; the snapshot must be created consistently in both or the contract must explicitly limit the feature to one path.</w:t>
      </w:r>
    </w:p>
    <w:p>
      <w:pPr>
        <w:pStyle w:val="ListBullet"/>
      </w:pPr>
      <w:r>
        <w:rPr>
          <w:rFonts w:ascii="Aptos" w:hAnsi="Aptos"/>
          <w:b w:val="0"/>
          <w:i w:val="0"/>
          <w:sz w:val="20"/>
        </w:rPr>
        <w:t>If D-001 is not resolved, UI wording can promise a split sale that the server rejects, or allow a total that cannot be reconciled.</w:t>
      </w:r>
    </w:p>
    <w:p>
      <w:pPr>
        <w:pStyle w:val="ListBullet"/>
      </w:pPr>
      <w:r>
        <w:rPr>
          <w:rFonts w:ascii="Aptos" w:hAnsi="Aptos"/>
          <w:b w:val="0"/>
          <w:i w:val="0"/>
          <w:sz w:val="20"/>
        </w:rPr>
        <w:t>The current stack runs from the StagingPOS worktree; implementation must not accidentally edit the root checkout or another worktree.</w:t>
      </w:r>
    </w:p>
    <w:p>
      <w:pPr>
        <w:pStyle w:val="Heading1"/>
      </w:pPr>
      <w:r>
        <w:t>Tests Required</w:t>
      </w:r>
    </w:p>
    <w:p>
      <w:pPr>
        <w:pStyle w:val="ListBullet"/>
      </w:pPr>
      <w:r>
        <w:rPr>
          <w:rFonts w:ascii="Aptos" w:hAnsi="Aptos"/>
          <w:b w:val="0"/>
          <w:i w:val="0"/>
          <w:sz w:val="20"/>
        </w:rPr>
        <w:t>Static inspection of current flow and changed-file ownership.</w:t>
      </w:r>
    </w:p>
    <w:p>
      <w:pPr>
        <w:pStyle w:val="ListBullet"/>
      </w:pPr>
      <w:r>
        <w:rPr>
          <w:rFonts w:ascii="Aptos" w:hAnsi="Aptos"/>
          <w:b w:val="0"/>
          <w:i w:val="0"/>
          <w:sz w:val="20"/>
        </w:rPr>
        <w:t>Contract tests proving non-delivery payloads remain byte/shape compatible except for additive optional fields.</w:t>
      </w:r>
    </w:p>
    <w:p>
      <w:pPr>
        <w:pStyle w:val="ListBullet"/>
      </w:pPr>
      <w:r>
        <w:rPr>
          <w:rFonts w:ascii="Aptos" w:hAnsi="Aptos"/>
          <w:b w:val="0"/>
          <w:i w:val="0"/>
          <w:sz w:val="20"/>
        </w:rPr>
        <w:t>End-to-end test from Delivery selection through report and Z-reading output.</w:t>
      </w:r>
    </w:p>
    <w:p>
      <w:pPr>
        <w:pStyle w:val="Heading1"/>
      </w:pPr>
      <w:r>
        <w:t>Acceptance Criteria</w:t>
      </w:r>
    </w:p>
    <w:p>
      <w:pPr>
        <w:pStyle w:val="ListBullet"/>
      </w:pPr>
      <w:r>
        <w:rPr>
          <w:rFonts w:ascii="Aptos" w:hAnsi="Aptos"/>
          <w:b w:val="0"/>
          <w:i w:val="0"/>
          <w:sz w:val="20"/>
        </w:rPr>
        <w:t>AC-004: The plan names the actual current UI, hook, route, validator, usecase, model, repository, report, Z-reading, and printer surfaces.</w:t>
      </w:r>
    </w:p>
    <w:p>
      <w:pPr>
        <w:pStyle w:val="ListBullet"/>
      </w:pPr>
      <w:r>
        <w:rPr>
          <w:rFonts w:ascii="Aptos" w:hAnsi="Aptos"/>
          <w:b w:val="0"/>
          <w:i w:val="0"/>
          <w:sz w:val="20"/>
        </w:rPr>
        <w:t>AC-005: The target flow preserves generic tender semantics and introduces no duplicate sale or report source of truth.</w:t>
      </w:r>
    </w:p>
    <w:p>
      <w:pPr>
        <w:pStyle w:val="ListBullet"/>
      </w:pPr>
      <w:r>
        <w:rPr>
          <w:rFonts w:ascii="Aptos" w:hAnsi="Aptos"/>
          <w:b w:val="0"/>
          <w:i w:val="0"/>
          <w:sz w:val="20"/>
        </w:rPr>
        <w:t>AC-006: In-scope and out-of-scope boundaries are explicit and exclude external delivery integrations.</w:t>
      </w:r>
    </w:p>
    <w:p>
      <w:pPr>
        <w:pStyle w:val="Heading1"/>
      </w:pPr>
      <w:r>
        <w:t>Execution Dependencies</w:t>
      </w:r>
    </w:p>
    <w:p>
      <w:pPr>
        <w:pStyle w:val="ListBullet"/>
      </w:pPr>
      <w:r>
        <w:rPr>
          <w:rFonts w:ascii="Aptos" w:hAnsi="Aptos"/>
          <w:b w:val="0"/>
          <w:i w:val="0"/>
          <w:sz w:val="20"/>
        </w:rPr>
        <w:t>Resolve D-001/D-002 before freezing the API schema.</w:t>
      </w:r>
    </w:p>
    <w:p>
      <w:pPr>
        <w:pStyle w:val="ListBullet"/>
      </w:pPr>
      <w:r>
        <w:rPr>
          <w:rFonts w:ascii="Aptos" w:hAnsi="Aptos"/>
          <w:b w:val="0"/>
          <w:i w:val="0"/>
          <w:sz w:val="20"/>
        </w:rPr>
        <w:t>Use the existing POS checkout route and architecture layering; do not add a controller-to-model shortcut.</w:t>
      </w:r>
    </w:p>
    <w:p>
      <w:pPr>
        <w:pStyle w:val="ListBullet"/>
      </w:pPr>
      <w:r>
        <w:rPr>
          <w:rFonts w:ascii="Aptos" w:hAnsi="Aptos"/>
          <w:b w:val="0"/>
          <w:i w:val="0"/>
          <w:sz w:val="20"/>
        </w:rPr>
        <w:t>Phase 471 must be completed before Phase 472 is marked eligible in the ledger.</w:t>
      </w:r>
    </w:p>
    <w:p>
      <w:pPr>
        <w:pStyle w:val="Heading1"/>
      </w:pPr>
      <w:r>
        <w:t>Cross-References</w:t>
      </w:r>
    </w:p>
    <w:p>
      <w:pPr>
        <w:pStyle w:val="ListBullet"/>
      </w:pPr>
      <w:r>
        <w:rPr>
          <w:rFonts w:ascii="Aptos" w:hAnsi="Aptos"/>
          <w:b w:val="0"/>
          <w:i w:val="0"/>
          <w:sz w:val="20"/>
        </w:rPr>
        <w:t>packages/web-core/src/features/pos/components/POSCheckoutConfirmDialog.jsx</w:t>
      </w:r>
    </w:p>
    <w:p>
      <w:pPr>
        <w:pStyle w:val="ListBullet"/>
      </w:pPr>
      <w:r>
        <w:rPr>
          <w:rFonts w:ascii="Aptos" w:hAnsi="Aptos"/>
          <w:b w:val="0"/>
          <w:i w:val="0"/>
          <w:sz w:val="20"/>
        </w:rPr>
        <w:t>packages/web-core/src/features/pos/hooks/usePosCheckoutWorkflow.js</w:t>
      </w:r>
    </w:p>
    <w:p>
      <w:pPr>
        <w:pStyle w:val="ListBullet"/>
      </w:pPr>
      <w:r>
        <w:rPr>
          <w:rFonts w:ascii="Aptos" w:hAnsi="Aptos"/>
          <w:b w:val="0"/>
          <w:i w:val="0"/>
          <w:sz w:val="20"/>
        </w:rPr>
        <w:t>apps/dgfy-api/src/validators/posValidator.js</w:t>
      </w:r>
    </w:p>
    <w:p>
      <w:pPr>
        <w:pStyle w:val="ListBullet"/>
      </w:pPr>
      <w:r>
        <w:rPr>
          <w:rFonts w:ascii="Aptos" w:hAnsi="Aptos"/>
          <w:b w:val="0"/>
          <w:i w:val="0"/>
          <w:sz w:val="20"/>
        </w:rPr>
        <w:t>apps/dgfy-api/src/modules/pos/usecases/posUseCases.js</w:t>
      </w:r>
    </w:p>
    <w:p>
      <w:pPr>
        <w:pStyle w:val="ListBullet"/>
      </w:pPr>
      <w:r>
        <w:rPr>
          <w:rFonts w:ascii="Aptos" w:hAnsi="Aptos"/>
          <w:b w:val="0"/>
          <w:i w:val="0"/>
          <w:sz w:val="20"/>
        </w:rPr>
        <w:t>apps/dgfy-api/src/modules/pos/repositories/posRepository.js</w:t>
      </w:r>
    </w:p>
    <w:p>
      <w:pPr>
        <w:pStyle w:val="ListBullet"/>
      </w:pPr>
      <w:r>
        <w:rPr>
          <w:rFonts w:ascii="Aptos" w:hAnsi="Aptos"/>
          <w:b w:val="0"/>
          <w:i w:val="0"/>
          <w:sz w:val="20"/>
        </w:rPr>
        <w:t>docs/api/specification.md</w:t>
      </w:r>
    </w:p>
    <w:sectPr w:rsidR="00FC693F" w:rsidRPr="0006063C" w:rsidSect="00034616">
      <w:headerReference w:type="default" r:id="rId9"/>
      <w:footerReference w:type="default" r:id="rId10"/>
      <w:pgSz w:w="12240" w:h="15840"/>
      <w:pgMar w:top="936" w:right="1123" w:bottom="936"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4748B"/>
        <w:sz w:val="17"/>
      </w:rPr>
      <w:t xml:space="preserve">POS Delivery Provider Payment Breakdown  •  Section 01  •  Page </w:t>
    </w:r>
    <w:r>
      <w:rPr>
        <w:rFonts w:ascii="Aptos" w:hAnsi="Aptos"/>
        <w:b w:val="0"/>
        <w:i w:val="0"/>
        <w:color w:val="64748B"/>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475569"/>
        <w:sz w:val="17"/>
      </w:rPr>
      <w:t>DGFY POS  |  PLAN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F4167"/>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A5B7E"/>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F2D4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 Delivery Provider Payment Breakdown - Section 01 - Objective and Current State</dc:title>
  <dc:subject>Execution-ready plan for delivery provider payment classification and reporting</dc:subject>
  <dc:creator>Codex</dc:creator>
  <cp:keywords/>
  <dc:description>Plan artifact only. No application code is changed by this document set.</dc:description>
  <cp:lastModifiedBy/>
  <cp:revision>1</cp:revision>
  <dcterms:created xsi:type="dcterms:W3CDTF">2013-12-23T23:15:00Z</dcterms:created>
  <dcterms:modified xsi:type="dcterms:W3CDTF">2013-12-23T23:15:00Z</dcterms:modified>
  <cp:category/>
</cp:coreProperties>
</file>