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Version Connectivity Manual and Disaster Recovery</w:t>
      </w:r>
    </w:p>
    <w:p>
      <w:pPr>
        <w:spacing w:after="200"/>
      </w:pPr>
      <w:r>
        <w:rPr>
          <w:rFonts w:ascii="Aptos" w:hAnsi="Aptos"/>
          <w:b w:val="0"/>
          <w:i w:val="0"/>
          <w:color w:val="385A7A"/>
          <w:sz w:val="20"/>
        </w:rPr>
        <w:t>POS BIR Annex B Items 4 to 14 Readiness | Plan version 1.0 | Section 06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Project name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POS BIR Annex B Items 4 to 14 Readiness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Plan version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1.0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Repository baseline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C:\xampp\htdocs\POS-DGFY | branch feat/DGFY-343-2067-pos-workflow-consolidation | HEAD 786cd4e8329db1a65398ce6aa7eb020ffc8f3b28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Planning mode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Planning only. This artifact does not implement code, migrations, configuration, or release actions.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rFonts w:ascii="Aptos" w:hAnsi="Aptos"/>
          <w:b w:val="0"/>
          <w:i w:val="0"/>
        </w:rPr>
        <w:t>Plan the documentary and evidence closure for Items 9, 10, 11, 12, and 14, while linking Item 13 audit evidence to the security/permissions section.</w:t>
      </w:r>
    </w:p>
    <w:p>
      <w:pPr>
        <w:pStyle w:val="Heading1"/>
      </w:pPr>
      <w:r>
        <w:t>Dependencies</w:t>
      </w:r>
    </w:p>
    <w:p>
      <w:pPr>
        <w:pStyle w:val="ListBullet"/>
      </w:pPr>
      <w:r>
        <w:rPr>
          <w:rFonts w:ascii="Aptos" w:hAnsi="Aptos"/>
          <w:b w:val="0"/>
          <w:i w:val="0"/>
        </w:rPr>
        <w:t>Sections 00-05.</w:t>
      </w:r>
    </w:p>
    <w:p>
      <w:pPr>
        <w:pStyle w:val="ListBullet"/>
      </w:pPr>
      <w:r>
        <w:rPr>
          <w:rFonts w:ascii="Aptos" w:hAnsi="Aptos"/>
          <w:b w:val="0"/>
          <w:i w:val="0"/>
        </w:rPr>
        <w:t>Current architecture and operations documents.</w:t>
      </w:r>
    </w:p>
    <w:p>
      <w:pPr>
        <w:pStyle w:val="ListBullet"/>
      </w:pPr>
      <w:r>
        <w:rPr>
          <w:rFonts w:ascii="Aptos" w:hAnsi="Aptos"/>
          <w:b w:val="0"/>
          <w:i w:val="0"/>
        </w:rPr>
        <w:t>Local build/version and restore-drill capabilities.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rPr>
          <w:rFonts w:ascii="Aptos" w:hAnsi="Aptos"/>
          <w:b w:val="0"/>
          <w:i w:val="0"/>
        </w:rPr>
        <w:t>A software specification packet and system flow diagram already exist under docs/compliance/submission.</w:t>
      </w:r>
    </w:p>
    <w:p>
      <w:pPr>
        <w:pStyle w:val="ListBullet"/>
      </w:pPr>
      <w:r>
        <w:rPr>
          <w:rFonts w:ascii="Aptos" w:hAnsi="Aptos"/>
          <w:b w:val="0"/>
          <w:i w:val="0"/>
        </w:rPr>
        <w:t>POS mounts a shared VersionBadge using VITE_APP_VERSION, and POS settings contain software name/version fields used by fiscal receipt rendering.</w:t>
      </w:r>
    </w:p>
    <w:p>
      <w:pPr>
        <w:pStyle w:val="ListBullet"/>
      </w:pPr>
      <w:r>
        <w:rPr>
          <w:rFonts w:ascii="Aptos" w:hAnsi="Aptos"/>
          <w:b w:val="0"/>
          <w:i w:val="0"/>
        </w:rPr>
        <w:t>TerminalPage tracks navigator online state and API reachability separately, with explicit offline restrictions and provisional receipt messaging.</w:t>
      </w:r>
    </w:p>
    <w:p>
      <w:pPr>
        <w:pStyle w:val="ListBullet"/>
      </w:pPr>
      <w:r>
        <w:rPr>
          <w:rFonts w:ascii="Aptos" w:hAnsi="Aptos"/>
          <w:b w:val="0"/>
          <w:i w:val="0"/>
        </w:rPr>
        <w:t>The current DR document defines RPO &lt;= 24 hours, optional hourly binlog/WAL replay, RTO &lt;= 4 hours, retention periods, encryption, restore procedure, drill cadence, escalation, and evidence outputs.</w:t>
      </w:r>
    </w:p>
    <w:p>
      <w:pPr>
        <w:pStyle w:val="ListBullet"/>
      </w:pPr>
      <w:r>
        <w:rPr>
          <w:rFonts w:ascii="Aptos" w:hAnsi="Aptos"/>
          <w:b w:val="0"/>
          <w:i w:val="0"/>
        </w:rPr>
        <w:t>The current final-review document model includes system flow, software specification, backup/DR, filing instructions, restore drill, encryption verification, and RMO-specific evidence codes.</w:t>
      </w:r>
    </w:p>
    <w:p>
      <w:pPr>
        <w:pStyle w:val="Heading1"/>
      </w:pPr>
      <w:r>
        <w:t>Assumptions and Unknowns</w:t>
      </w:r>
    </w:p>
    <w:p>
      <w:pPr>
        <w:pStyle w:val="ListBullet"/>
      </w:pPr>
      <w:r>
        <w:rPr>
          <w:rFonts w:ascii="Aptos" w:hAnsi="Aptos"/>
          <w:b w:val="0"/>
          <w:i w:val="0"/>
        </w:rPr>
        <w:t>A splash screen is not assumed to exist. If there is no applicable splash screen, the evidence register records N/A with reviewer rationale.</w:t>
      </w:r>
    </w:p>
    <w:p>
      <w:pPr>
        <w:pStyle w:val="ListBullet"/>
      </w:pPr>
      <w:r>
        <w:rPr>
          <w:rFonts w:ascii="Aptos" w:hAnsi="Aptos"/>
          <w:b w:val="0"/>
          <w:i w:val="0"/>
        </w:rPr>
        <w:t>Item 12 can be satisfied by a versioned operating manual and machine/peripheral applicability matrix when a separate hardware brochure is not applicable, subject to reviewer acceptance.</w:t>
      </w:r>
    </w:p>
    <w:p>
      <w:pPr>
        <w:pStyle w:val="ListBullet"/>
      </w:pPr>
      <w:r>
        <w:rPr>
          <w:rFonts w:ascii="Aptos" w:hAnsi="Aptos"/>
          <w:b w:val="0"/>
          <w:i w:val="0"/>
        </w:rPr>
        <w:t>Screenshots will be captured locally from the exact build used to generate the evidence pack; browser chrome and credentials must be redacted.</w:t>
      </w:r>
    </w:p>
    <w:p>
      <w:pPr>
        <w:pStyle w:val="Heading1"/>
      </w:pPr>
      <w:r>
        <w:t>Requirements Covered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921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FR-406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Produce current system narrative, operating manual, screenshot register, and DRP.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FR-407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Show software name/version consistently on applicable login, home, and splash surfaces.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FR-408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Show and document truthful online/offline status and restrictions.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FR-410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Provide backup and DRP with restore-drill and encryption evidence.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UI-404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Make version and connectivity indicators visible and understandable.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OPS-401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Define manual owners, freshness, review cadence, RPO/RTO, and escalation.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DATA-406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Record screenshot/build/manual/DRP source version and checksum.</w:t>
            </w:r>
          </w:p>
        </w:tc>
      </w:tr>
    </w:tbl>
    <w:p>
      <w:pPr>
        <w:spacing w:after="40"/>
      </w:pPr>
    </w:p>
    <w:p>
      <w:pPr>
        <w:pStyle w:val="Heading1"/>
      </w:pPr>
      <w:r>
        <w:t>Plan Content</w:t>
      </w:r>
    </w:p>
    <w:p>
      <w:pPr>
        <w:pStyle w:val="Heading2"/>
      </w:pPr>
      <w:r>
        <w:t>Item 9 system narrative</w:t>
      </w:r>
    </w:p>
    <w:p>
      <w:pPr>
        <w:pStyle w:val="ListNumber"/>
      </w:pPr>
      <w:r>
        <w:rPr>
          <w:rFonts w:ascii="Aptos" w:hAnsi="Aptos"/>
          <w:b w:val="0"/>
          <w:i w:val="0"/>
        </w:rPr>
        <w:t>Refresh docs/compliance/submission/software-specification-dgfy.md against the current apps layout and target e-journal/adjustment contracts.</w:t>
      </w:r>
    </w:p>
    <w:p>
      <w:pPr>
        <w:pStyle w:val="ListNumber"/>
      </w:pPr>
      <w:r>
        <w:rPr>
          <w:rFonts w:ascii="Aptos" w:hAnsi="Aptos"/>
          <w:b w:val="0"/>
          <w:i w:val="0"/>
        </w:rPr>
        <w:t>Include product scope, tenant/location boundaries, POS terminal/shift flow, fiscal/non-fiscal lifecycle, receipt renderer, transaction/adjustment/reading/event source of truth, reports/e-journal, audit/security, offline behavior, backups/DR, versioning, and rollback.</w:t>
      </w:r>
    </w:p>
    <w:p>
      <w:pPr>
        <w:pStyle w:val="ListNumber"/>
      </w:pPr>
      <w:r>
        <w:rPr>
          <w:rFonts w:ascii="Aptos" w:hAnsi="Aptos"/>
          <w:b w:val="0"/>
          <w:i w:val="0"/>
        </w:rPr>
        <w:t>Update docs/compliance/submission/system-flow-diagram.mmd and render a PNG/PDF evidence copy. The narrative must reference actual file paths and API names, not stale backend/frontend paths.</w:t>
      </w:r>
    </w:p>
    <w:p>
      <w:pPr>
        <w:pStyle w:val="ListNumber"/>
      </w:pPr>
      <w:r>
        <w:rPr>
          <w:rFonts w:ascii="Aptos" w:hAnsi="Aptos"/>
          <w:b w:val="0"/>
          <w:i w:val="0"/>
        </w:rPr>
        <w:t>Store source revision, document version, reviewer, date, and checksum in final-review evidence.</w:t>
      </w:r>
    </w:p>
    <w:p>
      <w:pPr>
        <w:pStyle w:val="Heading2"/>
      </w:pPr>
      <w:r>
        <w:t>Item 10 version evidence</w:t>
      </w:r>
    </w:p>
    <w:p>
      <w:pPr>
        <w:pStyle w:val="ListBullet"/>
      </w:pPr>
      <w:r>
        <w:rPr>
          <w:rFonts w:ascii="Aptos" w:hAnsi="Aptos"/>
          <w:b w:val="0"/>
          <w:i w:val="0"/>
        </w:rPr>
        <w:t>Verify VersionBadge uses the same build-stamped VITE_APP_VERSION as the deployed/local app and never displays blank or undefined.</w:t>
      </w:r>
    </w:p>
    <w:p>
      <w:pPr>
        <w:pStyle w:val="ListBullet"/>
      </w:pPr>
      <w:r>
        <w:rPr>
          <w:rFonts w:ascii="Aptos" w:hAnsi="Aptos"/>
          <w:b w:val="0"/>
          <w:i w:val="0"/>
        </w:rPr>
        <w:t>Verify POS settings software name/version values are distinct from the build version when the filing matrix requires both software identity and running build identity.</w:t>
      </w:r>
    </w:p>
    <w:p>
      <w:pPr>
        <w:pStyle w:val="ListBullet"/>
      </w:pPr>
      <w:r>
        <w:rPr>
          <w:rFonts w:ascii="Aptos" w:hAnsi="Aptos"/>
          <w:b w:val="0"/>
          <w:i w:val="0"/>
        </w:rPr>
        <w:t>Capture login screen, home/terminal screen, and splash screen only where applicable. Each image must show build/version evidence without credentials or tenant secrets.</w:t>
      </w:r>
    </w:p>
    <w:p>
      <w:pPr>
        <w:pStyle w:val="ListBullet"/>
      </w:pPr>
      <w:r>
        <w:rPr>
          <w:rFonts w:ascii="Aptos" w:hAnsi="Aptos"/>
          <w:b w:val="0"/>
          <w:i w:val="0"/>
        </w:rPr>
        <w:t>Add a screenshot consistency test/inspection that compares the version text in each applicable surface to the evidence manifest.</w:t>
      </w:r>
    </w:p>
    <w:p>
      <w:pPr>
        <w:pStyle w:val="Heading2"/>
      </w:pPr>
      <w:r>
        <w:t>Item 11 online/offline evidence</w:t>
      </w:r>
    </w:p>
    <w:p>
      <w:pPr>
        <w:pStyle w:val="ListNumber"/>
      </w:pPr>
      <w:r>
        <w:rPr>
          <w:rFonts w:ascii="Aptos" w:hAnsi="Aptos"/>
          <w:b w:val="0"/>
          <w:i w:val="0"/>
        </w:rPr>
        <w:t>Document that the indicator combines network-interface state and API reachability; define exactly what 'Online' means for operator decisions.</w:t>
      </w:r>
    </w:p>
    <w:p>
      <w:pPr>
        <w:pStyle w:val="ListNumber"/>
      </w:pPr>
      <w:r>
        <w:rPr>
          <w:rFonts w:ascii="Aptos" w:hAnsi="Aptos"/>
          <w:b w:val="0"/>
          <w:i w:val="0"/>
        </w:rPr>
        <w:t>Capture online screenshot with healthy API and offline screenshot with the browser network disabled or the controlled local API unavailable. Record the test setup and expected restrictions.</w:t>
      </w:r>
    </w:p>
    <w:p>
      <w:pPr>
        <w:pStyle w:val="ListNumber"/>
      </w:pPr>
      <w:r>
        <w:rPr>
          <w:rFonts w:ascii="Aptos" w:hAnsi="Aptos"/>
          <w:b w:val="0"/>
          <w:i w:val="0"/>
        </w:rPr>
        <w:t>Verify offline local sale/queue behavior remains provisional, cash/non-governed rules remain enforced, and final fiscal receipt/e-journal inclusion waits for replay.</w:t>
      </w:r>
    </w:p>
    <w:p>
      <w:pPr>
        <w:pStyle w:val="ListNumber"/>
      </w:pPr>
      <w:r>
        <w:rPr>
          <w:rFonts w:ascii="Aptos" w:hAnsi="Aptos"/>
          <w:b w:val="0"/>
          <w:i w:val="0"/>
        </w:rPr>
        <w:t>Verify online-only reports/settings/audit/evidence actions are visibly disabled or explain the reconnection requirement.</w:t>
      </w:r>
    </w:p>
    <w:p>
      <w:pPr>
        <w:pStyle w:val="Heading2"/>
      </w:pPr>
      <w:r>
        <w:t>Item 12 operating manual</w:t>
      </w:r>
    </w:p>
    <w:p>
      <w:r>
        <w:rPr>
          <w:rFonts w:ascii="Aptos" w:hAnsi="Aptos"/>
          <w:b w:val="0"/>
          <w:i w:val="0"/>
        </w:rPr>
        <w:t>Create a versioned operator manual covering login, company/terminal selection, opening shift, sales, discounts, charges, reprint, void/refund/return, X/Z readings, reports, e-journal export, audit evidence, offline behavior, sync, backup/restore roles, and escalation.</w:t>
      </w:r>
    </w:p>
    <w:p>
      <w:r>
        <w:rPr>
          <w:rFonts w:ascii="Aptos" w:hAnsi="Aptos"/>
          <w:b w:val="0"/>
          <w:i w:val="0"/>
        </w:rPr>
        <w:t>Create a machine/peripheral applicability matrix covering browser POS, native/bridge adapters, receipt printer, cash drawer, terminal identity, network, and optional hardware. If a physical brochure is not applicable, record the reason and reviewer status.</w:t>
      </w:r>
    </w:p>
    <w:p>
      <w:pPr>
        <w:pStyle w:val="Heading2"/>
      </w:pPr>
      <w:r>
        <w:t>Item 14 backup and DRP</w:t>
      </w:r>
    </w:p>
    <w:p>
      <w:pPr>
        <w:pStyle w:val="ListNumber"/>
      </w:pPr>
      <w:r>
        <w:rPr>
          <w:rFonts w:ascii="Aptos" w:hAnsi="Aptos"/>
          <w:b w:val="0"/>
          <w:i w:val="0"/>
        </w:rPr>
        <w:t>Refresh the existing DRP with fiscal-specific scope: transactions, immutable snapshots, adjustments, fiscal events, X/Z snapshots, evidence manifests, review records, and generated artifacts.</w:t>
      </w:r>
    </w:p>
    <w:p>
      <w:pPr>
        <w:pStyle w:val="ListNumber"/>
      </w:pPr>
      <w:r>
        <w:rPr>
          <w:rFonts w:ascii="Aptos" w:hAnsi="Aptos"/>
          <w:b w:val="0"/>
          <w:i w:val="0"/>
        </w:rPr>
        <w:t>Define RPO/RTO owners, backup cadence, retention, encryption/key management, restore order, tenant isolation, access logging, incident escalation, and stop conditions.</w:t>
      </w:r>
    </w:p>
    <w:p>
      <w:pPr>
        <w:pStyle w:val="ListNumber"/>
      </w:pPr>
      <w:r>
        <w:rPr>
          <w:rFonts w:ascii="Aptos" w:hAnsi="Aptos"/>
          <w:b w:val="0"/>
          <w:i w:val="0"/>
        </w:rPr>
        <w:t>Run a local disposable restore drill and verify fiscal record counts, hashes, source relationships, settings/version snapshots, reports, and evidence metadata.</w:t>
      </w:r>
    </w:p>
    <w:p>
      <w:pPr>
        <w:pStyle w:val="ListNumber"/>
      </w:pPr>
      <w:r>
        <w:rPr>
          <w:rFonts w:ascii="Aptos" w:hAnsi="Aptos"/>
          <w:b w:val="0"/>
          <w:i w:val="0"/>
        </w:rPr>
        <w:t>Record drill start/end, operator, environment, commands/runbook reference, findings, remediation, and approval. A stale or unsigned drill cannot satisfy Item 14.</w:t>
      </w:r>
    </w:p>
    <w:p>
      <w:pPr>
        <w:pStyle w:val="Heading1"/>
      </w:pPr>
      <w:r>
        <w:t>Affected System Components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Classification</w:t>
            </w:r>
          </w:p>
        </w:tc>
        <w:tc>
          <w:tcPr>
            <w:tcW w:type="dxa" w:w="871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Components and expected treatment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Documents</w:t>
            </w:r>
          </w:p>
        </w:tc>
        <w:tc>
          <w:tcPr>
            <w:tcW w:type="dxa" w:w="87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docs/compliance/submission/software-specification-dgfy.md, system-flow-diagram.mmd, backup-disaster-recovery-plan.md, filing instructions, generated DOCX/PDF/manual.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Frontend</w:t>
            </w:r>
          </w:p>
        </w:tc>
        <w:tc>
          <w:tcPr>
            <w:tcW w:type="dxa" w:w="87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apps/dgfy-pos/src/main.jsx, VersionBadge, TerminalPage connectivity UI, POS settings software identity, online/offline restrictions.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Operations</w:t>
            </w:r>
          </w:p>
        </w:tc>
        <w:tc>
          <w:tcPr>
            <w:tcW w:type="dxa" w:w="87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Backup/restore scripts, local MySQL/tenant schema, encryption verification, generated evidence directory.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Review</w:t>
            </w:r>
          </w:p>
        </w:tc>
        <w:tc>
          <w:tcPr>
            <w:tcW w:type="dxa" w:w="87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Engineering, compliance, operator/manual owner, platform/backup owner, tax practitioner/BIR reviewer.</w:t>
            </w:r>
          </w:p>
        </w:tc>
      </w:tr>
    </w:tbl>
    <w:p>
      <w:pPr>
        <w:spacing w:after="40"/>
      </w:pPr>
    </w:p>
    <w:p>
      <w:pPr>
        <w:pStyle w:val="Heading1"/>
      </w:pPr>
      <w:r>
        <w:t>Risks and Mitigations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88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Risk</w:t>
            </w:r>
          </w:p>
        </w:tc>
        <w:tc>
          <w:tcPr>
            <w:tcW w:type="dxa" w:w="576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R-060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Version screenshot shows a stale or unknown build.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Compare build stamp, app version, source commit, and evidence manifest.</w:t>
            </w:r>
          </w:p>
        </w:tc>
      </w:tr>
      <w:tr>
        <w:tc>
          <w:tcPr>
            <w:tcW w:type="dxa" w:w="10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R-061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Offline indicator means browser network but API is down.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Document dual signal and test both network/API failure modes.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R-062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Manual claims steps that the current UI cannot perform.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Generate manual from tested local flows and review every step.</w:t>
            </w:r>
          </w:p>
        </w:tc>
      </w:tr>
      <w:tr>
        <w:tc>
          <w:tcPr>
            <w:tcW w:type="dxa" w:w="10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R-063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DRP exists only as prose without restore proof.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Require fresh restore drill and fiscal hash/count validation.</w:t>
            </w:r>
          </w:p>
        </w:tc>
      </w:tr>
    </w:tbl>
    <w:p>
      <w:pPr>
        <w:spacing w:after="40"/>
      </w:pPr>
    </w:p>
    <w:p>
      <w:pPr>
        <w:pStyle w:val="Heading1"/>
      </w:pPr>
      <w:r>
        <w:t>Tests Required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22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Test ID</w:t>
            </w:r>
          </w:p>
        </w:tc>
        <w:tc>
          <w:tcPr>
            <w:tcW w:type="dxa" w:w="172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Type</w:t>
            </w:r>
          </w:p>
        </w:tc>
        <w:tc>
          <w:tcPr>
            <w:tcW w:type="dxa" w:w="770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Scenario and evidence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TEST-460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Document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Run docs lint and compare narrative paths/API names to the current repository layout.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TEST-461</w:t>
            </w:r>
          </w:p>
        </w:tc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Screenshot</w:t>
            </w:r>
          </w:p>
        </w:tc>
        <w:tc>
          <w:tcPr>
            <w:tcW w:type="dxa" w:w="770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Capture applicable surfaces and compare displayed version/build metadata to the manifest.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TEST-462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Connectivity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Exercise network offline, API unreachable, reconnect, queued sync, and online-only navigation.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TEST-463</w:t>
            </w:r>
          </w:p>
        </w:tc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Manual</w:t>
            </w:r>
          </w:p>
        </w:tc>
        <w:tc>
          <w:tcPr>
            <w:tcW w:type="dxa" w:w="770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Follow manual steps from a clean local tenant and record mismatches.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TEST-464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Restore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Restore disposable tenant/landlord data and verify fiscal counts, hashes, readings, audit, and evidence metadata.</w:t>
            </w:r>
          </w:p>
        </w:tc>
      </w:tr>
    </w:tbl>
    <w:p>
      <w:pPr>
        <w:spacing w:after="40"/>
      </w:pPr>
    </w:p>
    <w:p>
      <w:pPr>
        <w:pStyle w:val="Heading1"/>
      </w:pPr>
      <w:r>
        <w:t>Acceptance Criteria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22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943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Measurable acceptance criterion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AC-460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Item 9 narrative matches the current repository layout and target architecture with reviewed version metadata.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AC-461</w:t>
            </w:r>
          </w:p>
        </w:tc>
        <w:tc>
          <w:tcPr>
            <w:tcW w:type="dxa" w:w="94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Item 10 has clean screenshots for all applicable surfaces or a reviewer-approved N/A for missing splash.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AC-462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Item 11 has both connectivity-state evidence and tested operator restrictions.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AC-463</w:t>
            </w:r>
          </w:p>
        </w:tc>
        <w:tc>
          <w:tcPr>
            <w:tcW w:type="dxa" w:w="94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Item 12 manual is executable by an operator and includes hardware applicability.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AC-464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Item 14 DRP has current RPO/RTO, retention, encryption, restore-drill, ownership, and sign-off evidence.</w:t>
            </w:r>
          </w:p>
        </w:tc>
      </w:tr>
    </w:tbl>
    <w:p>
      <w:pPr>
        <w:spacing w:after="40"/>
      </w:pPr>
    </w:p>
    <w:p>
      <w:pPr>
        <w:pStyle w:val="Heading1"/>
      </w:pPr>
      <w:r>
        <w:t>Execution Dependencies</w:t>
      </w:r>
    </w:p>
    <w:p>
      <w:pPr>
        <w:pStyle w:val="ListNumber"/>
      </w:pPr>
      <w:r>
        <w:rPr>
          <w:rFonts w:ascii="Aptos" w:hAnsi="Aptos"/>
          <w:b w:val="0"/>
          <w:i w:val="0"/>
        </w:rPr>
        <w:t>Implement runtime gaps before capturing screenshots or writing final manual steps.</w:t>
      </w:r>
    </w:p>
    <w:p>
      <w:pPr>
        <w:pStyle w:val="ListNumber"/>
      </w:pPr>
      <w:r>
        <w:rPr>
          <w:rFonts w:ascii="Aptos" w:hAnsi="Aptos"/>
          <w:b w:val="0"/>
          <w:i w:val="0"/>
        </w:rPr>
        <w:t>Refresh documentation from the tested system, not from stale paths.</w:t>
      </w:r>
    </w:p>
    <w:p>
      <w:pPr>
        <w:pStyle w:val="ListNumber"/>
      </w:pPr>
      <w:r>
        <w:rPr>
          <w:rFonts w:ascii="Aptos" w:hAnsi="Aptos"/>
          <w:b w:val="0"/>
          <w:i w:val="0"/>
        </w:rPr>
        <w:t>Run local browser capture and restore drill against the same build/source revision.</w:t>
      </w:r>
    </w:p>
    <w:p>
      <w:pPr>
        <w:pStyle w:val="ListNumber"/>
      </w:pPr>
      <w:r>
        <w:rPr>
          <w:rFonts w:ascii="Aptos" w:hAnsi="Aptos"/>
          <w:b w:val="0"/>
          <w:i w:val="0"/>
        </w:rPr>
        <w:t>Store document/screenshot/drill checksums and reviewer metadata.</w:t>
      </w:r>
    </w:p>
    <w:p>
      <w:pPr>
        <w:pStyle w:val="ListNumber"/>
      </w:pPr>
      <w:r>
        <w:rPr>
          <w:rFonts w:ascii="Aptos" w:hAnsi="Aptos"/>
          <w:b w:val="0"/>
          <w:i w:val="0"/>
        </w:rPr>
        <w:t>Mark external review pending until the required owner signs the pack.</w:t>
      </w:r>
    </w:p>
    <w:p>
      <w:pPr>
        <w:pStyle w:val="Heading1"/>
      </w:pPr>
      <w:r>
        <w:t>Cross References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docs/compliance/submission/software-specification-dgfy.md; system-flow-diagram.mmd; backup-disaster-recovery-plan.md; filing-instructions.md.</w:t>
      </w:r>
    </w:p>
    <w:p>
      <w:pPr>
        <w:pStyle w:val="ListBullet"/>
      </w:pPr>
      <w:r>
        <w:rPr>
          <w:rFonts w:ascii="Aptos" w:hAnsi="Aptos"/>
          <w:b w:val="0"/>
          <w:i w:val="0"/>
        </w:rPr>
        <w:t>packages/web-core/src/components/common/VersionBadge.jsx; apps/dgfy-pos/src/main.jsx; packages/web-core/src/features/pos/pages/TerminalPage.jsx.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docs/architecture/adr/0014-multi-template-modes-pos-offline-sync-and-storefront-cache-contracts.md; docs/architecture/adr/0081-per-app-container-semantic-versioning.md.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/>
        <w:b w:val="0"/>
        <w:i w:val="0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