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and Target Architecture</w:t>
      </w:r>
    </w:p>
    <w:p>
      <w:pPr>
        <w:spacing w:after="200"/>
      </w:pPr>
      <w:r>
        <w:rPr>
          <w:rFonts w:ascii="Aptos" w:hAnsi="Aptos"/>
          <w:b w:val="0"/>
          <w:i w:val="0"/>
          <w:color w:val="385A7A"/>
          <w:sz w:val="20"/>
        </w:rPr>
        <w:t>POS BIR Annex B Items 4 to 14 Readiness | Plan version 1.0 | Section 03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Project name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POS BIR Annex B Items 4 to 14 Readiness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 version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1.0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Repository baseline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C:\xampp\htdocs\POS-DGFY | branch feat/DGFY-343-2067-pos-workflow-consolidation | HEAD 786cd4e8329db1a65398ce6aa7eb020ffc8f3b28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Planning mode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Planning only. This artifact does not implement code, migrations, configuration, or release actions.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</w:rPr>
        <w:t>Define the current and target architecture for closing Items 4 through 14 without duplicating fiscal sources of truth or violating the repository's module boundaries.</w:t>
      </w:r>
    </w:p>
    <w:p>
      <w:pPr>
        <w:pStyle w:val="Heading1"/>
      </w:pPr>
      <w:r>
        <w:t>Dependencies</w:t>
      </w:r>
    </w:p>
    <w:p>
      <w:pPr>
        <w:pStyle w:val="ListBullet"/>
      </w:pPr>
      <w:r>
        <w:rPr>
          <w:rFonts w:ascii="Aptos" w:hAnsi="Aptos"/>
          <w:b w:val="0"/>
          <w:i w:val="0"/>
        </w:rPr>
        <w:t>Sections 00-02.</w:t>
      </w:r>
    </w:p>
    <w:p>
      <w:pPr>
        <w:pStyle w:val="ListBullet"/>
      </w:pPr>
      <w:r>
        <w:rPr>
          <w:rFonts w:ascii="Aptos" w:hAnsi="Aptos"/>
          <w:b w:val="0"/>
          <w:i w:val="0"/>
        </w:rPr>
        <w:t>Architecture boundaries and governance docs.</w:t>
      </w:r>
    </w:p>
    <w:p>
      <w:pPr>
        <w:pStyle w:val="ListBullet"/>
      </w:pPr>
      <w:r>
        <w:rPr>
          <w:rFonts w:ascii="Aptos" w:hAnsi="Aptos"/>
          <w:b w:val="0"/>
          <w:i w:val="0"/>
        </w:rPr>
        <w:t>ADR 0007, ADR 0014, ADR 0033, ADR 0042, ADR 0045, and ADR 0081.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</w:rPr>
        <w:t>The repository's required backend flow is routes -&gt; controllers -&gt; usecases -&gt; repositories -&gt; models.</w:t>
      </w:r>
    </w:p>
    <w:p>
      <w:pPr>
        <w:pStyle w:val="ListBullet"/>
      </w:pPr>
      <w:r>
        <w:rPr>
          <w:rFonts w:ascii="Aptos" w:hAnsi="Aptos"/>
          <w:b w:val="0"/>
          <w:i w:val="0"/>
        </w:rPr>
        <w:t>POS is the interim back-office-level operational owner; new back-office-level work must target apps/dgfy-pos, not apps/dgfy-ims.</w:t>
      </w:r>
    </w:p>
    <w:p>
      <w:pPr>
        <w:pStyle w:val="ListBullet"/>
      </w:pPr>
      <w:r>
        <w:rPr>
          <w:rFonts w:ascii="Aptos" w:hAnsi="Aptos"/>
          <w:b w:val="0"/>
          <w:i w:val="0"/>
        </w:rPr>
        <w:t>Receipt rendering is shared through @sieitzz/pos-receipt; the backend must not import the frontend package.</w:t>
      </w:r>
    </w:p>
    <w:p>
      <w:pPr>
        <w:pStyle w:val="ListBullet"/>
      </w:pPr>
      <w:r>
        <w:rPr>
          <w:rFonts w:ascii="Aptos" w:hAnsi="Aptos"/>
          <w:b w:val="0"/>
          <w:i w:val="0"/>
        </w:rPr>
        <w:t>Fiscal/non-fiscal status is explicit server contract data, not an invoice-number-prefix inference.</w:t>
      </w:r>
    </w:p>
    <w:p>
      <w:pPr>
        <w:pStyle w:val="ListBullet"/>
      </w:pPr>
      <w:r>
        <w:rPr>
          <w:rFonts w:ascii="Aptos" w:hAnsi="Aptos"/>
          <w:b w:val="0"/>
          <w:i w:val="0"/>
        </w:rPr>
        <w:t>Existing compliance final-review documents and signoffs are already modeled and should be extended before adding a parallel readiness store.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</w:rPr>
        <w:t>A new evidence package generator may be placed in the compliance module while fiscal data remains owned by POS repositories.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evidence layer will reference immutable source records and store artifact metadata/checksums, not copies of mutable transaction truth.</w:t>
      </w:r>
    </w:p>
    <w:p>
      <w:pPr>
        <w:pStyle w:val="ListBullet"/>
      </w:pPr>
      <w:r>
        <w:rPr>
          <w:rFonts w:ascii="Aptos" w:hAnsi="Aptos"/>
          <w:b w:val="0"/>
          <w:i w:val="0"/>
        </w:rPr>
        <w:t>If the new e-journal grammar changes the fiscal document lifecycle or append-only contract, ADR 0042 must be amended or superseded according to ADR 0039.</w:t>
      </w:r>
    </w:p>
    <w:p>
      <w:pPr>
        <w:pStyle w:val="ListBullet"/>
      </w:pPr>
      <w:r>
        <w:rPr>
          <w:rFonts w:ascii="Aptos" w:hAnsi="Aptos"/>
          <w:b w:val="0"/>
          <w:i w:val="0"/>
        </w:rPr>
        <w:t>Generated hard-copy/PDF output is evidence projection, not a new fiscal source of truth.</w:t>
      </w:r>
    </w:p>
    <w:p>
      <w:pPr>
        <w:pStyle w:val="Heading1"/>
      </w:pPr>
      <w:r>
        <w:t>Requirements Covered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2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BR-401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One authoritative source for fiscal transaction, adjustment, reading, and audit data.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BR-402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Evidence package generation is read-only against fiscal source records.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DATA-401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Historical snapshots preserve the exact issued document and source version.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SEC-401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Every read/export is tenant and location scoped and permission checked.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NFR-401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Generators are deterministic for the same source snapshot and policy version.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ADR-401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Any fiscal lifecycle/grammar change follows the governed ADR path.</w:t>
            </w:r>
          </w:p>
        </w:tc>
      </w:tr>
    </w:tbl>
    <w:p>
      <w:pPr>
        <w:spacing w:after="40"/>
      </w:pPr>
    </w:p>
    <w:p>
      <w:pPr>
        <w:pStyle w:val="Heading1"/>
      </w:pPr>
      <w:r>
        <w:t>Plan Content</w:t>
      </w:r>
    </w:p>
    <w:p>
      <w:pPr>
        <w:pStyle w:val="Heading2"/>
      </w:pPr>
      <w:r>
        <w:t>Current architecture flow</w:t>
      </w:r>
    </w:p>
    <w:p>
      <w:r>
        <w:rPr>
          <w:rFonts w:ascii="Aptos" w:hAnsi="Aptos"/>
          <w:b w:val="0"/>
          <w:i w:val="0"/>
        </w:rPr>
        <w:t>Terminal UI in packages/web-core and the apps/dgfy-pos shell calls existing API clients. The API routes in apps/dgfy-api/src/routes/pos.js and businessAdmin.js apply authentication and permissions, controllers adapt transport, use cases apply policy and transaction boundaries, repositories own database reads/writes, and models represent tenant-local or landlord compliance records.</w:t>
      </w:r>
    </w:p>
    <w:p>
      <w:r>
        <w:rPr>
          <w:rFonts w:ascii="Aptos" w:hAnsi="Aptos"/>
          <w:b w:val="0"/>
          <w:i w:val="0"/>
        </w:rPr>
        <w:t>The evidence design must preserve this flow. It must not put tax rules only in React, expose landlord records to tenant users, or let a report or hard-copy export reconstruct a fiscal document from mutable item/settings records.</w:t>
      </w:r>
    </w:p>
    <w:p>
      <w:pPr>
        <w:pStyle w:val="Heading2"/>
      </w:pPr>
      <w:r>
        <w:t>Target flow</w:t>
      </w:r>
    </w:p>
    <w:p>
      <w:pPr>
        <w:pStyle w:val="ListNumber"/>
      </w:pPr>
      <w:r>
        <w:rPr>
          <w:rFonts w:ascii="Aptos" w:hAnsi="Aptos"/>
          <w:b w:val="0"/>
          <w:i w:val="0"/>
        </w:rPr>
        <w:t>Operator or authorized reviewer requests a readiness item, sample, report, journal, audit extract, screenshot manifest, or DR evidence package.</w:t>
      </w:r>
    </w:p>
    <w:p>
      <w:pPr>
        <w:pStyle w:val="ListNumber"/>
      </w:pPr>
      <w:r>
        <w:rPr>
          <w:rFonts w:ascii="Aptos" w:hAnsi="Aptos"/>
          <w:b w:val="0"/>
          <w:i w:val="0"/>
        </w:rPr>
        <w:t>Controller validates the request and use case resolves tenant, branch, terminal, date range, artifact type, and policy version.</w:t>
      </w:r>
    </w:p>
    <w:p>
      <w:pPr>
        <w:pStyle w:val="ListNumber"/>
      </w:pPr>
      <w:r>
        <w:rPr>
          <w:rFonts w:ascii="Aptos" w:hAnsi="Aptos"/>
          <w:b w:val="0"/>
          <w:i w:val="0"/>
        </w:rPr>
        <w:t>Policy checks permission, compliance mode, location access, evidence freshness, and whether the requested source is final or provisional.</w:t>
      </w:r>
    </w:p>
    <w:p>
      <w:pPr>
        <w:pStyle w:val="ListNumber"/>
      </w:pPr>
      <w:r>
        <w:rPr>
          <w:rFonts w:ascii="Aptos" w:hAnsi="Aptos"/>
          <w:b w:val="0"/>
          <w:i w:val="0"/>
        </w:rPr>
        <w:t>Repository reads immutable fiscal transaction snapshots, adjustment rows, fiscal events, X/Z snapshots, report datasets, audit rows, and approved settings/version snapshots.</w:t>
      </w:r>
    </w:p>
    <w:p>
      <w:pPr>
        <w:pStyle w:val="ListNumber"/>
      </w:pPr>
      <w:r>
        <w:rPr>
          <w:rFonts w:ascii="Aptos" w:hAnsi="Aptos"/>
          <w:b w:val="0"/>
          <w:i w:val="0"/>
        </w:rPr>
        <w:t>A domain serializer builds deterministic output, validates cross-record completeness, computes SHA-256 checksums, and emits a manifest.</w:t>
      </w:r>
    </w:p>
    <w:p>
      <w:pPr>
        <w:pStyle w:val="ListNumber"/>
      </w:pPr>
      <w:r>
        <w:rPr>
          <w:rFonts w:ascii="Aptos" w:hAnsi="Aptos"/>
          <w:b w:val="0"/>
          <w:i w:val="0"/>
        </w:rPr>
        <w:t>The final-review evidence record stores artifact metadata, source revision, generator version, checksum, review state, and external-review status.</w:t>
      </w:r>
    </w:p>
    <w:p>
      <w:pPr>
        <w:pStyle w:val="ListNumber"/>
      </w:pPr>
      <w:r>
        <w:rPr>
          <w:rFonts w:ascii="Aptos" w:hAnsi="Aptos"/>
          <w:b w:val="0"/>
          <w:i w:val="0"/>
        </w:rPr>
        <w:t>The response returns only the authorized artifact/manifest; the generated artifact is available for hard-copy or local evidence capture.</w:t>
      </w:r>
    </w:p>
    <w:p>
      <w:pPr>
        <w:pStyle w:val="Heading2"/>
      </w:pPr>
      <w:r>
        <w:t>Proposed module placement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Surface</w:t>
            </w:r>
          </w:p>
        </w:tc>
        <w:tc>
          <w:tcPr>
            <w:tcW w:type="dxa" w:w="38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Reuse</w:t>
            </w:r>
          </w:p>
        </w:tc>
        <w:tc>
          <w:tcPr>
            <w:tcW w:type="dxa" w:w="460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Planned extension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POS fiscal runtime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apps/dgfy-api/src/modules/pos/usecases/posUseCases.js and posRepository.js.</w:t>
            </w:r>
          </w:p>
        </w:tc>
        <w:tc>
          <w:tcPr>
            <w:tcW w:type="dxa" w:w="46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Complete receipt/adjustment/reading contracts, return semantics, journal source query, and lifecycle events only where the current contract is insufficient.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Compliance readiness</w:t>
            </w:r>
          </w:p>
        </w:tc>
        <w:tc>
          <w:tcPr>
            <w:tcW w:type="dxa" w:w="38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apps/dgfy-api/src/modules/compliance/usecases/complianceUseCases.js, policy, repository, final-review models.</w:t>
            </w:r>
          </w:p>
        </w:tc>
        <w:tc>
          <w:tcPr>
            <w:tcW w:type="dxa" w:w="46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Add Annex B requirement registry, evidence-quality/freshness checks, item-level readiness, and final-review artifact links.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Reports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apps/dgfy-api/src/modules/reports and businessAdmin repositories/use cases.</w:t>
            </w:r>
          </w:p>
        </w:tc>
        <w:tc>
          <w:tcPr>
            <w:tcW w:type="dxa" w:w="46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Add report catalog metadata, statutory applicability labels, deterministic sample export, and cross-report reconciliation.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POS UI</w:t>
            </w:r>
          </w:p>
        </w:tc>
        <w:tc>
          <w:tcPr>
            <w:tcW w:type="dxa" w:w="38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packages/web-core POS components and apps/dgfy-pos shell.</w:t>
            </w:r>
          </w:p>
        </w:tc>
        <w:tc>
          <w:tcPr>
            <w:tcW w:type="dxa" w:w="46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Expose only the reviewer/operator actions needed for evidence capture; keep fiscal rules backend-owned.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Migrations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apps/dgfy-migration-runner and current model registration.</w:t>
            </w:r>
          </w:p>
        </w:tc>
        <w:tc>
          <w:tcPr>
            <w:tcW w:type="dxa" w:w="46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 additive schema changes, tenant schema cloning checks, indexes, and rollback notes.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Evidence docs</w:t>
            </w:r>
          </w:p>
        </w:tc>
        <w:tc>
          <w:tcPr>
            <w:tcW w:type="dxa" w:w="38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docs/compliance/submission and docs/compliance/evidence.</w:t>
            </w:r>
          </w:p>
        </w:tc>
        <w:tc>
          <w:tcPr>
            <w:tcW w:type="dxa" w:w="46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Versioned narratives, manual, control matrix, screenshot register, DRP, and local evidence manifest.</w:t>
            </w:r>
          </w:p>
        </w:tc>
      </w:tr>
    </w:tbl>
    <w:p>
      <w:pPr>
        <w:spacing w:after="40"/>
      </w:pPr>
    </w:p>
    <w:p>
      <w:pPr>
        <w:pStyle w:val="Heading2"/>
      </w:pPr>
      <w:r>
        <w:t>Source-of-truth decisions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Entity</w:t>
            </w:r>
          </w:p>
        </w:tc>
        <w:tc>
          <w:tcPr>
            <w:tcW w:type="dxa" w:w="432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Source of truth</w:t>
            </w:r>
          </w:p>
        </w:tc>
        <w:tc>
          <w:tcPr>
            <w:tcW w:type="dxa" w:w="417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Derived/evidence output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Issued fiscal document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Server-owned snapshot/hash on the transaction plus fiscal event ledger.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Receipt print, adjustment links, e-journal record, sample pack.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</w:t>
            </w:r>
          </w:p>
        </w:tc>
        <w:tc>
          <w:tcPr>
            <w:tcW w:type="dxa" w:w="432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pos_transaction_adjustments plus immutable original transaction and fiscal event.</w:t>
            </w:r>
          </w:p>
        </w:tc>
        <w:tc>
          <w:tcPr>
            <w:tcW w:type="dxa" w:w="417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 document, report row, audit/e-journal record.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X/Z reading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Current X computation and immutable PosZReadingSnapshot.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Printout, reconciliation row, e-journal/readings appendix.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Report</w:t>
            </w:r>
          </w:p>
        </w:tc>
        <w:tc>
          <w:tcPr>
            <w:tcW w:type="dxa" w:w="432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Canonical report registry/dataset and source read models.</w:t>
            </w:r>
          </w:p>
        </w:tc>
        <w:tc>
          <w:tcPr>
            <w:tcW w:type="dxa" w:w="417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Report sample, CSV/TXT/PDF export, manifest.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Audit event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AuditLog/compliance audit stores with server-side scrubber and tenant scope.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Filtered print/export, evidence manifest.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Version/connectivity</w:t>
            </w:r>
          </w:p>
        </w:tc>
        <w:tc>
          <w:tcPr>
            <w:tcW w:type="dxa" w:w="432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Build-stamped app version plus POS runtime connectivity state.</w:t>
            </w:r>
          </w:p>
        </w:tc>
        <w:tc>
          <w:tcPr>
            <w:tcW w:type="dxa" w:w="417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Screenshots and test logs.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Evidence review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TenantComplianceFinalReviewDocument/Signoff and verified artifact state.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Readiness score and final packet.</w:t>
            </w:r>
          </w:p>
        </w:tc>
      </w:tr>
    </w:tbl>
    <w:p>
      <w:pPr>
        <w:spacing w:after="40"/>
      </w:pPr>
    </w:p>
    <w:p>
      <w:pPr>
        <w:pStyle w:val="Heading2"/>
      </w:pPr>
      <w:r>
        <w:t>Architecture decisions required before build</w:t>
      </w:r>
    </w:p>
    <w:p>
      <w:pPr>
        <w:pStyle w:val="ListBullet"/>
      </w:pPr>
      <w:r>
        <w:rPr>
          <w:rFonts w:ascii="Aptos" w:hAnsi="Aptos"/>
          <w:b w:val="0"/>
          <w:i w:val="0"/>
        </w:rPr>
        <w:t>Approve the e-journal grammar source and serializer version.</w:t>
      </w:r>
    </w:p>
    <w:p>
      <w:pPr>
        <w:pStyle w:val="ListBullet"/>
      </w:pPr>
      <w:r>
        <w:rPr>
          <w:rFonts w:ascii="Aptos" w:hAnsi="Aptos"/>
          <w:b w:val="0"/>
          <w:i w:val="0"/>
        </w:rPr>
        <w:t>Decide whether a return is a separate adjustment type or a governed document subtype, with tax and inventory semantics.</w:t>
      </w:r>
    </w:p>
    <w:p>
      <w:pPr>
        <w:pStyle w:val="ListBullet"/>
      </w:pPr>
      <w:r>
        <w:rPr>
          <w:rFonts w:ascii="Aptos" w:hAnsi="Aptos"/>
          <w:b w:val="0"/>
          <w:i w:val="0"/>
        </w:rPr>
        <w:t>Decide whether hard-copy evidence is generated as PDF, browser print, or both; do not confuse browser screenshots with hard-copy output.</w:t>
      </w:r>
    </w:p>
    <w:p>
      <w:pPr>
        <w:pStyle w:val="ListBullet"/>
      </w:pPr>
      <w:r>
        <w:rPr>
          <w:rFonts w:ascii="Aptos" w:hAnsi="Aptos"/>
          <w:b w:val="0"/>
          <w:i w:val="0"/>
        </w:rPr>
        <w:t>Decide whether the readiness score is tenant-specific, provider-level, or both; the Annex B evidence pack must not cross tenant boundaries.</w:t>
      </w:r>
    </w:p>
    <w:p>
      <w:pPr>
        <w:pStyle w:val="ListBullet"/>
      </w:pPr>
      <w:r>
        <w:rPr>
          <w:rFonts w:ascii="Aptos" w:hAnsi="Aptos"/>
          <w:b w:val="0"/>
          <w:i w:val="0"/>
        </w:rPr>
        <w:t>Amend ADR 0042 if the target introduces new fiscal event types, new immutable fields, or a new activation gate.</w:t>
      </w:r>
    </w:p>
    <w:p>
      <w:pPr>
        <w:pStyle w:val="Heading1"/>
      </w:pPr>
      <w:r>
        <w:t>Affected System Components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Classification</w:t>
            </w:r>
          </w:p>
        </w:tc>
        <w:tc>
          <w:tcPr>
            <w:tcW w:type="dxa" w:w="87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Components and expected treatment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Direct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apps/dgfy-api routes/controllers/usecases/repositories/models; migration runner; web-core POS and reports; dgfy-pos shell.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Reuse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Existing fiscal snapshots/events, transaction adjustments, X/Z snapshots, final-review docs/signoff, audit repository, report registry, VersionBadge.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Architecture review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ADR 0042 amendment/new ADR if fiscal lifecycle, e-journal grammar, or activation semantics change.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Excluded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Frontend-only tax calculation, backend import of the receipt package, and separate duplicate compliance evidence tables without a schema review.</w:t>
            </w:r>
          </w:p>
        </w:tc>
      </w:tr>
    </w:tbl>
    <w:p>
      <w:pPr>
        <w:spacing w:after="40"/>
      </w:pPr>
    </w:p>
    <w:p>
      <w:pPr>
        <w:pStyle w:val="Heading1"/>
      </w:pPr>
      <w:r>
        <w:t>Risks and Mitigations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57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R-030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Evidence package becomes a second ledger.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Read immutable source records and store only manifest/artifact metadata.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R-031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new endpoint bypasses existing RBAC.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Extend route contract tests and permission matrix before exposing UI.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R-032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Report read model differs from fiscal ledger.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Add cross-source reconciliation tests and fail the evidence export on mismatch.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R-033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ADR impact is missed.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Run architecture/compliance checks and require ADR declaration in the implementation PR.</w:t>
            </w:r>
          </w:p>
        </w:tc>
      </w:tr>
    </w:tbl>
    <w:p>
      <w:pPr>
        <w:spacing w:after="40"/>
      </w:pPr>
    </w:p>
    <w:p>
      <w:pPr>
        <w:pStyle w:val="Heading1"/>
      </w:pPr>
      <w:r>
        <w:t>Tests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 ID</w:t>
            </w:r>
          </w:p>
        </w:tc>
        <w:tc>
          <w:tcPr>
            <w:tcW w:type="dxa" w:w="172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70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Scenario and evidence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TEST-430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Architecture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Run npm run check:architecture and inspect module-boundary violations.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TEST-431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Source of truth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Mutate current settings/items after a sale and prove issued snapshots and evidence remain unchanged.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TEST-432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Tenant boundary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Attempt cross-tenant, cross-branch, and unauthorized evidence retrieval; expect deterministic denial.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TEST-433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Determinism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Generate the same artifact twice and compare serialized bytes, record order, and checksum.</w:t>
            </w:r>
          </w:p>
        </w:tc>
      </w:tr>
    </w:tbl>
    <w:p>
      <w:pPr>
        <w:spacing w:after="40"/>
      </w:pPr>
    </w:p>
    <w:p>
      <w:pPr>
        <w:pStyle w:val="Heading1"/>
      </w:pPr>
      <w:r>
        <w:t>Acceptance Criteria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4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Measurable acceptance criterion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AC-430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target flow preserves routes -&gt; controllers -&gt; usecases -&gt; repositories -&gt; models.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AC-431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No evidence artifact is allowed to rewrite or serve as the source of a fiscal transaction.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AC-432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Every proposed new route, model, migration, and UI surface has an owner, permission, source of truth, and rollback note.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AC-433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ADR 0042/0039 impact is identified before implementation if the fiscal contract changes.</w:t>
            </w:r>
          </w:p>
        </w:tc>
      </w:tr>
    </w:tbl>
    <w:p>
      <w:pPr>
        <w:spacing w:after="40"/>
      </w:pPr>
    </w:p>
    <w:p>
      <w:pPr>
        <w:pStyle w:val="Heading1"/>
      </w:pPr>
      <w:r>
        <w:t>Execution Dependencies</w:t>
      </w:r>
    </w:p>
    <w:p>
      <w:pPr>
        <w:pStyle w:val="ListNumber"/>
      </w:pPr>
      <w:r>
        <w:rPr>
          <w:rFonts w:ascii="Aptos" w:hAnsi="Aptos"/>
          <w:b w:val="0"/>
          <w:i w:val="0"/>
        </w:rPr>
        <w:t>Lock requirements and source rules first.</w:t>
      </w:r>
    </w:p>
    <w:p>
      <w:pPr>
        <w:pStyle w:val="ListNumber"/>
      </w:pPr>
      <w:r>
        <w:rPr>
          <w:rFonts w:ascii="Aptos" w:hAnsi="Aptos"/>
          <w:b w:val="0"/>
          <w:i w:val="0"/>
        </w:rPr>
        <w:t>Design the evidence registry against existing final-review models.</w:t>
      </w:r>
    </w:p>
    <w:p>
      <w:pPr>
        <w:pStyle w:val="ListNumber"/>
      </w:pPr>
      <w:r>
        <w:rPr>
          <w:rFonts w:ascii="Aptos" w:hAnsi="Aptos"/>
          <w:b w:val="0"/>
          <w:i w:val="0"/>
        </w:rPr>
        <w:t>Implement backend domain and data contracts before UI.</w:t>
      </w:r>
    </w:p>
    <w:p>
      <w:pPr>
        <w:pStyle w:val="ListNumber"/>
      </w:pPr>
      <w:r>
        <w:rPr>
          <w:rFonts w:ascii="Aptos" w:hAnsi="Aptos"/>
          <w:b w:val="0"/>
          <w:i w:val="0"/>
        </w:rPr>
        <w:t>Run architecture and compliance checks before merging each cross-boundary slice.</w:t>
      </w:r>
    </w:p>
    <w:p>
      <w:pPr>
        <w:pStyle w:val="ListNumber"/>
      </w:pPr>
      <w:r>
        <w:rPr>
          <w:rFonts w:ascii="Aptos" w:hAnsi="Aptos"/>
          <w:b w:val="0"/>
          <w:i w:val="0"/>
        </w:rPr>
        <w:t>Keep all generated artifacts local and checksumed until release evidence is reviewed.</w:t>
      </w:r>
    </w:p>
    <w:p>
      <w:pPr>
        <w:pStyle w:val="Heading1"/>
      </w:pPr>
      <w:r>
        <w:t>Cross References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docs/architecture/ARCHITECTURE_BOUNDARIES.md and docs/architecture/ARCHITECTURE_GOVERNANCE.md.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docs/architecture/adr/0007-dual-mode-pos-compliance-program.md; docs/architecture/adr/0014-multi-template-modes-pos-offline-sync-and-storefront-cache-contracts.md.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docs/architecture/adr/0033-commercial-promo-and-statutory-pos-discount-boundaries.md; docs/architecture/adr/0042-bir-rmo-24-2023-fiscal-document-and-accreditation-closure.md; docs/architecture/adr/0045-shared-pos-receipt-renderer.md; docs/architecture/adr/0081-per-app-container-semantic-versioning.md.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b w:val="0"/>
        <w:i w:val="0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