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Security Permissions and Migration</w:t>
      </w:r>
    </w:p>
    <w:p>
      <w:pPr>
        <w:spacing w:after="200"/>
      </w:pPr>
      <w:r>
        <w:rPr>
          <w:rFonts w:ascii="Aptos" w:hAnsi="Aptos"/>
          <w:b w:val="0"/>
          <w:i w:val="0"/>
          <w:color w:val="385A7A"/>
          <w:sz w:val="20"/>
        </w:rPr>
        <w:t>POS BIR Annex B Items 4 to 14 Readiness | Plan version 1.0 | Section 07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Project name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POS BIR Annex B Items 4 to 14 Readiness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 version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1.0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Repository baseline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C:\xampp\htdocs\POS-DGFY | branch feat/DGFY-343-2067-pos-workflow-consolidation | HEAD 786cd4e8329db1a65398ce6aa7eb020ffc8f3b28</w:t>
            </w:r>
          </w:p>
        </w:tc>
      </w:tr>
      <w:tr>
        <w:tc>
          <w:tcPr>
            <w:tcW w:type="dxa" w:w="2232"/>
            <w:shd w:fill="EAF1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/>
                <w:i w:val="0"/>
                <w:sz w:val="17"/>
              </w:rPr>
              <w:t>Planning mode</w:t>
            </w:r>
          </w:p>
        </w:tc>
        <w:tc>
          <w:tcPr>
            <w:tcW w:type="dxa" w:w="84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Planning only. This artifact does not implement code, migrations, configuration, or release actions.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</w:rPr>
        <w:t>Define data, security, permissions, audit, migration, retention, and export controls needed to make Items 4 through 14 trustworthy and recoverable.</w:t>
      </w:r>
    </w:p>
    <w:p>
      <w:pPr>
        <w:pStyle w:val="Heading1"/>
      </w:pPr>
      <w:r>
        <w:t>Dependencies</w:t>
      </w:r>
    </w:p>
    <w:p>
      <w:pPr>
        <w:pStyle w:val="ListBullet"/>
      </w:pPr>
      <w:r>
        <w:rPr>
          <w:rFonts w:ascii="Aptos" w:hAnsi="Aptos"/>
          <w:b w:val="0"/>
          <w:i w:val="0"/>
        </w:rPr>
        <w:t>Sections 00-06.</w:t>
      </w:r>
    </w:p>
    <w:p>
      <w:pPr>
        <w:pStyle w:val="ListBullet"/>
      </w:pPr>
      <w:r>
        <w:rPr>
          <w:rFonts w:ascii="Aptos" w:hAnsi="Aptos"/>
          <w:b w:val="0"/>
          <w:i w:val="0"/>
        </w:rPr>
        <w:t>Architecture governance and compliance classification rules.</w:t>
      </w:r>
    </w:p>
    <w:p>
      <w:pPr>
        <w:pStyle w:val="ListBullet"/>
      </w:pPr>
      <w:r>
        <w:rPr>
          <w:rFonts w:ascii="Aptos" w:hAnsi="Aptos"/>
          <w:b w:val="0"/>
          <w:i w:val="0"/>
        </w:rPr>
        <w:t>Existing audit, compliance artifact, final-review, and tenant schema machinery.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</w:rPr>
        <w:t>AuditLog stores user, entity, action, event type, actor username, terminal, shift, location, reason, request ID, changes, IP, user agent, and timestamp; the repository scrubs secret-like keys.</w:t>
      </w:r>
    </w:p>
    <w:p>
      <w:pPr>
        <w:pStyle w:val="ListBullet"/>
      </w:pPr>
      <w:r>
        <w:rPr>
          <w:rFonts w:ascii="Aptos" w:hAnsi="Aptos"/>
          <w:b w:val="0"/>
          <w:i w:val="0"/>
        </w:rPr>
        <w:t>Compliance artifacts are verification-based and final-review documents/signoffs are already modeled in landlord scope.</w:t>
      </w:r>
    </w:p>
    <w:p>
      <w:pPr>
        <w:pStyle w:val="ListBullet"/>
      </w:pPr>
      <w:r>
        <w:rPr>
          <w:rFonts w:ascii="Aptos" w:hAnsi="Aptos"/>
          <w:b w:val="0"/>
          <w:i w:val="0"/>
        </w:rPr>
        <w:t>Fiscal event and compliance audit immutability are already partly enforced, including append-only triggers for tenant compliance audit logs.</w:t>
      </w:r>
    </w:p>
    <w:p>
      <w:pPr>
        <w:pStyle w:val="ListBullet"/>
      </w:pPr>
      <w:r>
        <w:rPr>
          <w:rFonts w:ascii="Aptos" w:hAnsi="Aptos"/>
          <w:b w:val="0"/>
          <w:i w:val="0"/>
        </w:rPr>
        <w:t>The repository requires compliance impact declarations and path-computed classification floors for POS, reports, settings, terminal, and compliance changes.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</w:rPr>
        <w:t>New evidence records are tenant-scoped or linked through existing final-review records; no evidence may be globally queryable by a tenant user.</w:t>
      </w:r>
    </w:p>
    <w:p>
      <w:pPr>
        <w:pStyle w:val="ListBullet"/>
      </w:pPr>
      <w:r>
        <w:rPr>
          <w:rFonts w:ascii="Aptos" w:hAnsi="Aptos"/>
          <w:b w:val="0"/>
          <w:i w:val="0"/>
        </w:rPr>
        <w:t>Existing append-only controls may not cover all new fiscal journal/artifact tables, so each new table requires a write/delete policy and test.</w:t>
      </w:r>
    </w:p>
    <w:p>
      <w:pPr>
        <w:pStyle w:val="ListBullet"/>
      </w:pPr>
      <w:r>
        <w:rPr>
          <w:rFonts w:ascii="Aptos" w:hAnsi="Aptos"/>
          <w:b w:val="0"/>
          <w:i w:val="0"/>
        </w:rPr>
        <w:t>Retention durations for fiscal evidence must be confirmed by the current regulatory/contractual source chain; do not invent a shorter retention.</w:t>
      </w:r>
    </w:p>
    <w:p>
      <w:pPr>
        <w:pStyle w:val="ListBullet"/>
      </w:pPr>
      <w:r>
        <w:rPr>
          <w:rFonts w:ascii="Aptos" w:hAnsi="Aptos"/>
          <w:b w:val="0"/>
          <w:i w:val="0"/>
        </w:rPr>
        <w:t>Migration design must support tenant model cloning and disposable schema rehearsal.</w:t>
      </w:r>
    </w:p>
    <w:p>
      <w:pPr>
        <w:pStyle w:val="Heading1"/>
      </w:pPr>
      <w:r>
        <w:t>Requirements Covered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21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DATA-401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Persist immutable snapshots, original-document links, evidence manifests, source revisions, and checksums.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SEC-401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Enforce tenant, location, terminal, role, and object-level access on evidence and exports.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SEC-402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Prevent update/delete/tampering of fiscal and evidence records after finalization.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PERM-401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Separate view, generate, export, verify, approve, and activation permissions.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AUD-401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Audit generation, download, verification, review, adjustment, and restore operations.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MIG-401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Use additive migrations, backfill only when safe, verify indexes/FKs, and rehearse rollback.</w:t>
            </w:r>
          </w:p>
        </w:tc>
      </w:tr>
      <w:tr>
        <w:tc>
          <w:tcPr>
            <w:tcW w:type="dxa" w:w="144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OPS-401</w:t>
            </w:r>
          </w:p>
        </w:tc>
        <w:tc>
          <w:tcPr>
            <w:tcW w:type="dxa" w:w="921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Define retention, encryption, backup, restore, and evidence-freshness controls.</w:t>
            </w:r>
          </w:p>
        </w:tc>
      </w:tr>
      <w:tr>
        <w:tc>
          <w:tcPr>
            <w:tcW w:type="dxa" w:w="144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NFR-401</w:t>
            </w:r>
          </w:p>
        </w:tc>
        <w:tc>
          <w:tcPr>
            <w:tcW w:type="dxa" w:w="921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Bound exports and avoid leaking secrets, credentials, raw PINs, or unrelated tenant data.</w:t>
            </w:r>
          </w:p>
        </w:tc>
      </w:tr>
    </w:tbl>
    <w:p>
      <w:pPr>
        <w:spacing w:after="40"/>
      </w:pPr>
    </w:p>
    <w:p>
      <w:pPr>
        <w:pStyle w:val="Heading1"/>
      </w:pPr>
      <w:r>
        <w:t>Plan Content</w:t>
      </w:r>
    </w:p>
    <w:p>
      <w:pPr>
        <w:pStyle w:val="Heading2"/>
      </w:pPr>
      <w:r>
        <w:t>Data model plan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Data area</w:t>
            </w:r>
          </w:p>
        </w:tc>
        <w:tc>
          <w:tcPr>
            <w:tcW w:type="dxa" w:w="388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Reuse/extension</w:t>
            </w:r>
          </w:p>
        </w:tc>
        <w:tc>
          <w:tcPr>
            <w:tcW w:type="dxa" w:w="4536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Required fields or controls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Fiscal document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Extend PosTransaction only if approved matrix identifies missing immutable fields.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Snapshot, hash, template/grammar version, document type/context, terminal/tenant scope, issued time.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Adjustment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Extend PosTransactionAdjustment and related source/event contracts.</w:t>
            </w:r>
          </w:p>
        </w:tc>
        <w:tc>
          <w:tcPr>
            <w:tcW w:type="dxa" w:w="45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Explicit type including approved return semantics, original document ID/number, status, reason, amount/lines, actor, idempotency, provider/cash evidence.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Evidence artifact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Prefer TenantComplianceFinalReviewDocument metadata and existing artifact verification.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Annex item, artifact kind, source revision, generator/serializer version, checksum, size, freshness, review state, reviewer.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Report/journal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Use read models and add artifact metadata rather than duplicate rows.</w:t>
            </w:r>
          </w:p>
        </w:tc>
        <w:tc>
          <w:tcPr>
            <w:tcW w:type="dxa" w:w="45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Filter scope, timezone, record count, source list/hash, output format, file hash, created/downloaded/reviewed audit.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Reuse AuditLog and compliance audit stores.</w:t>
            </w:r>
          </w:p>
        </w:tc>
        <w:tc>
          <w:tcPr>
            <w:tcW w:type="dxa" w:w="4536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Actor, action, entity, old/new or values, reason, request/trace, tenant/location/terminal, timestamp, secret scrub.</w:t>
            </w:r>
          </w:p>
        </w:tc>
      </w:tr>
      <w:tr>
        <w:tc>
          <w:tcPr>
            <w:tcW w:type="dxa" w:w="22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DR evidence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Reuse final-review document plus drill evidence.</w:t>
            </w:r>
          </w:p>
        </w:tc>
        <w:tc>
          <w:tcPr>
            <w:tcW w:type="dxa" w:w="4536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Run ID, environment, start/end, RPO/RTO result, restored counts/hashes, remediation, approver.</w:t>
            </w:r>
          </w:p>
        </w:tc>
      </w:tr>
    </w:tbl>
    <w:p>
      <w:pPr>
        <w:spacing w:after="40"/>
      </w:pPr>
    </w:p>
    <w:p>
      <w:pPr>
        <w:pStyle w:val="Heading2"/>
      </w:pPr>
      <w:r>
        <w:t>Permission matrix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Action</w:t>
            </w:r>
          </w:p>
        </w:tc>
        <w:tc>
          <w:tcPr>
            <w:tcW w:type="dxa" w:w="295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Minimum authority</w:t>
            </w:r>
          </w:p>
        </w:tc>
        <w:tc>
          <w:tcPr>
            <w:tcW w:type="dxa" w:w="57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Checks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View readiness</w:t>
            </w:r>
          </w:p>
        </w:tc>
        <w:tc>
          <w:tcPr>
            <w:tcW w:type="dxa" w:w="295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Compliance/readiness view permission.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Authenticated tenant, tenant capability, location scope, current compliance state.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Generate samples/reports</w:t>
            </w:r>
          </w:p>
        </w:tc>
        <w:tc>
          <w:tcPr>
            <w:tcW w:type="dxa" w:w="295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POS/report view plus evidence generation permission.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Bounded date/scope, final records only, no cross-tenant access.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Export e-journal/audit</w:t>
            </w:r>
          </w:p>
        </w:tc>
        <w:tc>
          <w:tcPr>
            <w:tcW w:type="dxa" w:w="295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Explicit export permission or authorized compliance reviewer.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Tenant/location scope, size limit, redaction, download audit, checksum.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Create adjustment</w:t>
            </w:r>
          </w:p>
        </w:tc>
        <w:tc>
          <w:tcPr>
            <w:tcW w:type="dxa" w:w="295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Existing void/refund/close-day permission plus active operator/terminal/shift rules.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Original record, approval, idempotency, reason, source scope.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Verify evidence</w:t>
            </w:r>
          </w:p>
        </w:tc>
        <w:tc>
          <w:tcPr>
            <w:tcW w:type="dxa" w:w="295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Tenant master admin or platform reviewer per existing policy.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Verification status, reviewer identity, review note, immutable event.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Mark internal pass</w:t>
            </w:r>
          </w:p>
        </w:tc>
        <w:tc>
          <w:tcPr>
            <w:tcW w:type="dxa" w:w="295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Compliance owner/engineering approver.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All local gates complete, no unresolved P0 blocker, source freshness.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Activate fiscal</w:t>
            </w:r>
          </w:p>
        </w:tc>
        <w:tc>
          <w:tcPr>
            <w:tcW w:type="dxa" w:w="295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Existing compliance activation authority.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All ADR 0042 RMO/fiscal terminal/e-journal controls verified.</w:t>
            </w:r>
          </w:p>
        </w:tc>
      </w:tr>
    </w:tbl>
    <w:p>
      <w:pPr>
        <w:spacing w:after="40"/>
      </w:pPr>
    </w:p>
    <w:p>
      <w:pPr>
        <w:pStyle w:val="Heading2"/>
      </w:pPr>
      <w:r>
        <w:t>Migration strategy</w:t>
      </w:r>
    </w:p>
    <w:p>
      <w:pPr>
        <w:pStyle w:val="ListNumber"/>
      </w:pPr>
      <w:r>
        <w:rPr>
          <w:rFonts w:ascii="Aptos" w:hAnsi="Aptos"/>
          <w:b w:val="0"/>
          <w:i w:val="0"/>
        </w:rPr>
        <w:t>Add nullable or defaulted schema fields/tables first; deploy compatible readers before writers.</w:t>
      </w:r>
    </w:p>
    <w:p>
      <w:pPr>
        <w:pStyle w:val="ListNumber"/>
      </w:pPr>
      <w:r>
        <w:rPr>
          <w:rFonts w:ascii="Aptos" w:hAnsi="Aptos"/>
          <w:b w:val="0"/>
          <w:i w:val="0"/>
        </w:rPr>
        <w:t>Register models and associations in apps/dgfy-api/src/models/index.js and include tenant-local models in the migration runner/model clone graph.</w:t>
      </w:r>
    </w:p>
    <w:p>
      <w:pPr>
        <w:pStyle w:val="ListNumber"/>
      </w:pPr>
      <w:r>
        <w:rPr>
          <w:rFonts w:ascii="Aptos" w:hAnsi="Aptos"/>
          <w:b w:val="0"/>
          <w:i w:val="0"/>
        </w:rPr>
        <w:t>Backfill only immutable metadata that can be derived without rewriting fiscal meaning. Do not fabricate missing original document numbers, legal fields, or journal records.</w:t>
      </w:r>
    </w:p>
    <w:p>
      <w:pPr>
        <w:pStyle w:val="ListNumber"/>
      </w:pPr>
      <w:r>
        <w:rPr>
          <w:rFonts w:ascii="Aptos" w:hAnsi="Aptos"/>
          <w:b w:val="0"/>
          <w:i w:val="0"/>
        </w:rPr>
        <w:t>Add indexes for tenant/branch/terminal/date/status/hash/original-document queries and verify uniqueness for event sequence, artifact identity, and idempotency.</w:t>
      </w:r>
    </w:p>
    <w:p>
      <w:pPr>
        <w:pStyle w:val="ListNumber"/>
      </w:pPr>
      <w:r>
        <w:rPr>
          <w:rFonts w:ascii="Aptos" w:hAnsi="Aptos"/>
          <w:b w:val="0"/>
          <w:i w:val="0"/>
        </w:rPr>
        <w:t>Run fresh-schema migration, second-pass no-op, tenant schema clone, rollback rehearsal where supported, and row-count/integrity checks.</w:t>
      </w:r>
    </w:p>
    <w:p>
      <w:pPr>
        <w:pStyle w:val="ListNumber"/>
      </w:pPr>
      <w:r>
        <w:rPr>
          <w:rFonts w:ascii="Aptos" w:hAnsi="Aptos"/>
          <w:b w:val="0"/>
          <w:i w:val="0"/>
        </w:rPr>
        <w:t>Only after compatibility proof, enable evidence readiness gates and remove no legacy fields unless a separate cleanup plan exists.</w:t>
      </w:r>
    </w:p>
    <w:p>
      <w:pPr>
        <w:pStyle w:val="Heading2"/>
      </w:pPr>
      <w:r>
        <w:t>Security and audit controls</w:t>
      </w:r>
    </w:p>
    <w:p>
      <w:pPr>
        <w:pStyle w:val="ListBullet"/>
      </w:pPr>
      <w:r>
        <w:rPr>
          <w:rFonts w:ascii="Aptos" w:hAnsi="Aptos"/>
          <w:b w:val="0"/>
          <w:i w:val="0"/>
        </w:rPr>
        <w:t>Make final fiscal documents, adjustment records, readings, e-journal artifacts, and final-review manifests append-only or update-controlled with explicit state transitions.</w:t>
      </w:r>
    </w:p>
    <w:p>
      <w:pPr>
        <w:pStyle w:val="ListBullet"/>
      </w:pPr>
      <w:r>
        <w:rPr>
          <w:rFonts w:ascii="Aptos" w:hAnsi="Aptos"/>
          <w:b w:val="0"/>
          <w:i w:val="0"/>
        </w:rPr>
        <w:t>Reject client-supplied tenant, branch, terminal, actor, total, or review authority values when the server can derive them.</w:t>
      </w:r>
    </w:p>
    <w:p>
      <w:pPr>
        <w:pStyle w:val="ListBullet"/>
      </w:pPr>
      <w:r>
        <w:rPr>
          <w:rFonts w:ascii="Aptos" w:hAnsi="Aptos"/>
          <w:b w:val="0"/>
          <w:i w:val="0"/>
        </w:rPr>
        <w:t>Scrub secrets and personal data from logs and screenshots; define redaction for TIN/customer data in general reviewer exports.</w:t>
      </w:r>
    </w:p>
    <w:p>
      <w:pPr>
        <w:pStyle w:val="ListBullet"/>
      </w:pPr>
      <w:r>
        <w:rPr>
          <w:rFonts w:ascii="Aptos" w:hAnsi="Aptos"/>
          <w:b w:val="0"/>
          <w:i w:val="0"/>
        </w:rPr>
        <w:t>Record generation, download, verification, review, status, restore, and failed access attempts with request/trace context.</w:t>
      </w:r>
    </w:p>
    <w:p>
      <w:pPr>
        <w:pStyle w:val="ListBullet"/>
      </w:pPr>
      <w:r>
        <w:rPr>
          <w:rFonts w:ascii="Aptos" w:hAnsi="Aptos"/>
          <w:b w:val="0"/>
          <w:i w:val="0"/>
        </w:rPr>
        <w:t>Treat e-journal and audit exports as sensitive artifacts: encrypted at rest/in transit, short-lived download links or controlled local access, and no credentials in filenames or payloads.</w:t>
      </w:r>
    </w:p>
    <w:p>
      <w:pPr>
        <w:pStyle w:val="Heading1"/>
      </w:pPr>
      <w:r>
        <w:t>Affected System Components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Classification</w:t>
            </w:r>
          </w:p>
        </w:tc>
        <w:tc>
          <w:tcPr>
            <w:tcW w:type="dxa" w:w="871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Components and expected treatment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Direct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PosTransactionAdjustment/fiscal models, AuditLog, compliance artifact/final-review models, validators, permissions, repositories, migration runner.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Governance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docs/compliance/impact-declarations, docs/architecture/ADR path, docs/ai/PR.md, architecture/compliance/docs gates.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Operational</w:t>
            </w:r>
          </w:p>
        </w:tc>
        <w:tc>
          <w:tcPr>
            <w:tcW w:type="dxa" w:w="871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Backup encryption, restore drill, evidence retention, local export directory, cleanup and access logs.</w:t>
            </w:r>
          </w:p>
        </w:tc>
      </w:tr>
      <w:tr>
        <w:tc>
          <w:tcPr>
            <w:tcW w:type="dxa" w:w="194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Excluded</w:t>
            </w:r>
          </w:p>
        </w:tc>
        <w:tc>
          <w:tcPr>
            <w:tcW w:type="dxa" w:w="871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Destructive historical backfill, blanket data deletion, bypass permissions, credential storage, or production schema changes during planning.</w:t>
            </w:r>
          </w:p>
        </w:tc>
      </w:tr>
    </w:tbl>
    <w:p>
      <w:pPr>
        <w:spacing w:after="40"/>
      </w:pPr>
    </w:p>
    <w:p>
      <w:pPr>
        <w:pStyle w:val="Heading1"/>
      </w:pPr>
      <w:r>
        <w:t>Risks and Mitigations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88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Risk</w:t>
            </w:r>
          </w:p>
        </w:tc>
        <w:tc>
          <w:tcPr>
            <w:tcW w:type="dxa" w:w="5760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R-070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Evidence contains TIN/customer details and is over-shared.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Field-level access, redaction policy, export audit, encrypted storage.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R-071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New tables are missing from tenant schema clone.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Model factory and disposable tenant schema tests before release.</w:t>
            </w:r>
          </w:p>
        </w:tc>
      </w:tr>
      <w:tr>
        <w:tc>
          <w:tcPr>
            <w:tcW w:type="dxa" w:w="100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R-072</w:t>
            </w:r>
          </w:p>
        </w:tc>
        <w:tc>
          <w:tcPr>
            <w:tcW w:type="dxa" w:w="388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Append-only claim is application-only.</w:t>
            </w:r>
          </w:p>
        </w:tc>
        <w:tc>
          <w:tcPr>
            <w:tcW w:type="dxa" w:w="5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DB triggers/constraints where appropriate plus tamper tests.</w:t>
            </w:r>
          </w:p>
        </w:tc>
      </w:tr>
      <w:tr>
        <w:tc>
          <w:tcPr>
            <w:tcW w:type="dxa" w:w="100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R-073</w:t>
            </w:r>
          </w:p>
        </w:tc>
        <w:tc>
          <w:tcPr>
            <w:tcW w:type="dxa" w:w="388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Rollback deletes records needed for BIR evidence.</w:t>
            </w:r>
          </w:p>
        </w:tc>
        <w:tc>
          <w:tcPr>
            <w:tcW w:type="dxa" w:w="5760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Rollback is code/config disablement; preserve fiscal/evidence rows.</w:t>
            </w:r>
          </w:p>
        </w:tc>
      </w:tr>
    </w:tbl>
    <w:p>
      <w:pPr>
        <w:spacing w:after="40"/>
      </w:pPr>
    </w:p>
    <w:p>
      <w:pPr>
        <w:pStyle w:val="Heading1"/>
      </w:pPr>
      <w:r>
        <w:t>Tests Required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Test ID</w:t>
            </w:r>
          </w:p>
        </w:tc>
        <w:tc>
          <w:tcPr>
            <w:tcW w:type="dxa" w:w="1728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770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Scenario and evidence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TEST-470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RBAC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Allow/deny matrix across owner/admin/manager/cashier/reviewer and branch scopes.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TEST-471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Security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Tenant/branch/terminal ID manipulation, export overreach, secret injection, raw PIN/token leakage, and audit redaction.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TEST-472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Immutability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Update/delete attempts on finalized fiscal/evidence/audit rows fail or create governed state transitions.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TEST-473</w:t>
            </w:r>
          </w:p>
        </w:tc>
        <w:tc>
          <w:tcPr>
            <w:tcW w:type="dxa" w:w="1728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Migration</w:t>
            </w:r>
          </w:p>
        </w:tc>
        <w:tc>
          <w:tcPr>
            <w:tcW w:type="dxa" w:w="770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Fresh apply, second apply, tenant clone, indexes/FKs, backfill validation, rollback rehearsal.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TEST-474</w:t>
            </w:r>
          </w:p>
        </w:tc>
        <w:tc>
          <w:tcPr>
            <w:tcW w:type="dxa" w:w="1728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</w:p>
        </w:tc>
        <w:tc>
          <w:tcPr>
            <w:tcW w:type="dxa" w:w="770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5"/>
              </w:rPr>
              <w:t>Every generation/download/review/adjustment/restore action records required actor/context/value fields.</w:t>
            </w:r>
          </w:p>
        </w:tc>
      </w:tr>
    </w:tbl>
    <w:p>
      <w:pPr>
        <w:spacing w:after="40"/>
      </w:pPr>
    </w:p>
    <w:p>
      <w:pPr>
        <w:pStyle w:val="Heading1"/>
      </w:pPr>
      <w:r>
        <w:t>Acceptance Criteria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224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432"/>
            <w:shd w:fill="315B7D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Measurable acceptance criterion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AC-470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Permission matrix passes for all view/generate/export/adjust/verify/approve/activate actions.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AC-471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No finalized fiscal/evidence record can be silently updated or deleted.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AC-472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Fresh and existing tenant schemas pass migrations, model registration, index, and tenant-scope verification.</w:t>
            </w:r>
          </w:p>
        </w:tc>
      </w:tr>
      <w:tr>
        <w:tc>
          <w:tcPr>
            <w:tcW w:type="dxa" w:w="1224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AC-473</w:t>
            </w:r>
          </w:p>
        </w:tc>
        <w:tc>
          <w:tcPr>
            <w:tcW w:type="dxa" w:w="9432"/>
            <w:shd w:fill="F5F8F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Evidence export contains no unauthorized tenant data, secrets, raw PINs, or unredacted credentials.</w:t>
            </w:r>
          </w:p>
        </w:tc>
      </w:tr>
      <w:tr>
        <w:tc>
          <w:tcPr>
            <w:tcW w:type="dxa" w:w="1224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AC-474</w:t>
            </w:r>
          </w:p>
        </w:tc>
        <w:tc>
          <w:tcPr>
            <w:tcW w:type="dxa" w:w="9432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Audit output contains date/time, user ID/name, activity, values involved, reason/context, and checksum linkage.</w:t>
            </w:r>
          </w:p>
        </w:tc>
      </w:tr>
    </w:tbl>
    <w:p>
      <w:pPr>
        <w:spacing w:after="40"/>
      </w:pPr>
    </w:p>
    <w:p>
      <w:pPr>
        <w:pStyle w:val="Heading1"/>
      </w:pPr>
      <w:r>
        <w:t>Execution Dependencies</w:t>
      </w:r>
    </w:p>
    <w:p>
      <w:pPr>
        <w:pStyle w:val="ListNumber"/>
      </w:pPr>
      <w:r>
        <w:rPr>
          <w:rFonts w:ascii="Aptos" w:hAnsi="Aptos"/>
          <w:b w:val="0"/>
          <w:i w:val="0"/>
        </w:rPr>
        <w:t>Finalize data and permission decisions.</w:t>
      </w:r>
    </w:p>
    <w:p>
      <w:pPr>
        <w:pStyle w:val="ListNumber"/>
      </w:pPr>
      <w:r>
        <w:rPr>
          <w:rFonts w:ascii="Aptos" w:hAnsi="Aptos"/>
          <w:b w:val="0"/>
          <w:i w:val="0"/>
        </w:rPr>
        <w:t>Write compliance impact declaration and ADR impact note.</w:t>
      </w:r>
    </w:p>
    <w:p>
      <w:pPr>
        <w:pStyle w:val="ListNumber"/>
      </w:pPr>
      <w:r>
        <w:rPr>
          <w:rFonts w:ascii="Aptos" w:hAnsi="Aptos"/>
          <w:b w:val="0"/>
          <w:i w:val="0"/>
        </w:rPr>
        <w:t>Implement additive migrations/model/repository changes.</w:t>
      </w:r>
    </w:p>
    <w:p>
      <w:pPr>
        <w:pStyle w:val="ListNumber"/>
      </w:pPr>
      <w:r>
        <w:rPr>
          <w:rFonts w:ascii="Aptos" w:hAnsi="Aptos"/>
          <w:b w:val="0"/>
          <w:i w:val="0"/>
        </w:rPr>
        <w:t>Run tenant schema and security tests.</w:t>
      </w:r>
    </w:p>
    <w:p>
      <w:pPr>
        <w:pStyle w:val="ListNumber"/>
      </w:pPr>
      <w:r>
        <w:rPr>
          <w:rFonts w:ascii="Aptos" w:hAnsi="Aptos"/>
          <w:b w:val="0"/>
          <w:i w:val="0"/>
        </w:rPr>
        <w:t>Enable readiness gates only after evidence and rollback proofs pass.</w:t>
      </w:r>
    </w:p>
    <w:p>
      <w:pPr>
        <w:pStyle w:val="Heading1"/>
      </w:pPr>
      <w:r>
        <w:t>Cross References</w:t>
      </w:r>
    </w:p>
    <w:p>
      <w:pPr>
        <w:pStyle w:val="ListBullet"/>
      </w:pPr>
      <w:r>
        <w:rPr>
          <w:rFonts w:ascii="Aptos" w:hAnsi="Aptos"/>
          <w:b w:val="0"/>
          <w:i w:val="0"/>
        </w:rPr>
        <w:t>apps/dgfy-api/src/models/AuditLog.js; apps/dgfy-api/src/modules/audit/repositories/auditRepository.js.</w:t>
      </w:r>
    </w:p>
    <w:p>
      <w:pPr>
        <w:pStyle w:val="ListBullet"/>
      </w:pPr>
      <w:r>
        <w:rPr>
          <w:rFonts w:ascii="Aptos" w:hAnsi="Aptos"/>
          <w:b w:val="0"/>
          <w:i w:val="0"/>
        </w:rPr>
        <w:t>apps/dgfy-api/src/models/Landlord/TenantComplianceArtifact.js; TenantComplianceFinalReviewDocument.js; TenantComplianceFinalReviewSignoff.js.</w:t>
      </w:r>
    </w:p>
    <w:p>
      <w:pPr>
        <w:pStyle w:val="ListBullet"/>
      </w:pPr>
      <w:r>
        <w:rPr>
          <w:rFonts w:ascii="Aptos" w:hAnsi="Aptos"/>
          <w:b w:val="0"/>
          <w:i w:val="0"/>
        </w:rPr>
        <w:t>apps/dgfy-migration-runner/migrations/20260413000006-add-tenant-compliance-final-review-docs.cjs; 20260601000001-add-rmo-fiscal-document-snapshot-fields.cjs; 20260819000001-create-pos-transaction-adjustments.cjs.</w:t>
      </w:r>
    </w:p>
    <w:p>
      <w:pPr>
        <w:pStyle w:val="ListBullet"/>
      </w:pPr>
      <w:r>
        <w:rPr>
          <w:rFonts w:ascii="Aptos" w:hAnsi="Aptos"/>
          <w:b w:val="0"/>
          <w:i w:val="0"/>
        </w:rPr>
        <w:t>docs/compliance/request-time-preflight-protocol.md; docs/compliance/compliance-classification-matrix.md; docs/compliance/compliance-ops-regulatory-verification.md.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/>
        <w:b w:val="0"/>
        <w:i w:val="0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