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Implementation Phases and Dependencies</w:t>
      </w:r>
    </w:p>
    <w:p>
      <w:pPr>
        <w:spacing w:after="200"/>
      </w:pPr>
      <w:r>
        <w:rPr>
          <w:rFonts w:ascii="Aptos" w:hAnsi="Aptos"/>
          <w:b w:val="0"/>
          <w:i w:val="0"/>
          <w:color w:val="385A7A"/>
          <w:sz w:val="20"/>
        </w:rPr>
        <w:t>POS BIR Annex B Items 4 to 14 Readiness | Plan version 1.0 | Section 08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232"/>
            <w:shd w:fill="EAF1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Aptos" w:hAnsi="Aptos"/>
                <w:b/>
                <w:i w:val="0"/>
                <w:sz w:val="17"/>
              </w:rPr>
              <w:t>Project name</w:t>
            </w:r>
          </w:p>
        </w:tc>
        <w:tc>
          <w:tcPr>
            <w:tcW w:type="dxa" w:w="84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Aptos" w:hAnsi="Aptos"/>
                <w:b w:val="0"/>
                <w:i w:val="0"/>
                <w:sz w:val="17"/>
              </w:rPr>
              <w:t>POS BIR Annex B Items 4 to 14 Readiness</w:t>
            </w:r>
          </w:p>
        </w:tc>
      </w:tr>
      <w:tr>
        <w:tc>
          <w:tcPr>
            <w:tcW w:type="dxa" w:w="2232"/>
            <w:shd w:fill="EAF1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Aptos" w:hAnsi="Aptos"/>
                <w:b/>
                <w:i w:val="0"/>
                <w:sz w:val="17"/>
              </w:rPr>
              <w:t>Plan version</w:t>
            </w:r>
          </w:p>
        </w:tc>
        <w:tc>
          <w:tcPr>
            <w:tcW w:type="dxa" w:w="84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Aptos" w:hAnsi="Aptos"/>
                <w:b w:val="0"/>
                <w:i w:val="0"/>
                <w:sz w:val="17"/>
              </w:rPr>
              <w:t>1.0</w:t>
            </w:r>
          </w:p>
        </w:tc>
      </w:tr>
      <w:tr>
        <w:tc>
          <w:tcPr>
            <w:tcW w:type="dxa" w:w="2232"/>
            <w:shd w:fill="EAF1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Aptos" w:hAnsi="Aptos"/>
                <w:b/>
                <w:i w:val="0"/>
                <w:sz w:val="17"/>
              </w:rPr>
              <w:t>Repository baseline</w:t>
            </w:r>
          </w:p>
        </w:tc>
        <w:tc>
          <w:tcPr>
            <w:tcW w:type="dxa" w:w="84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Aptos" w:hAnsi="Aptos"/>
                <w:b w:val="0"/>
                <w:i w:val="0"/>
                <w:sz w:val="17"/>
              </w:rPr>
              <w:t>C:\xampp\htdocs\POS-DGFY | branch feat/DGFY-343-2067-pos-workflow-consolidation | HEAD 786cd4e8329db1a65398ce6aa7eb020ffc8f3b28</w:t>
            </w:r>
          </w:p>
        </w:tc>
      </w:tr>
      <w:tr>
        <w:tc>
          <w:tcPr>
            <w:tcW w:type="dxa" w:w="2232"/>
            <w:shd w:fill="EAF1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Aptos" w:hAnsi="Aptos"/>
                <w:b/>
                <w:i w:val="0"/>
                <w:sz w:val="17"/>
              </w:rPr>
              <w:t>Planning mode</w:t>
            </w:r>
          </w:p>
        </w:tc>
        <w:tc>
          <w:tcPr>
            <w:tcW w:type="dxa" w:w="84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Aptos" w:hAnsi="Aptos"/>
                <w:b w:val="0"/>
                <w:i w:val="0"/>
                <w:sz w:val="17"/>
              </w:rPr>
              <w:t>Planning only. This artifact does not implement code, migrations, configuration, or release actions.</w:t>
            </w:r>
          </w:p>
        </w:tc>
      </w:tr>
    </w:tbl>
    <w:p/>
    <w:p>
      <w:pPr>
        <w:pStyle w:val="Heading1"/>
      </w:pPr>
      <w:r>
        <w:t>Purpose</w:t>
      </w:r>
    </w:p>
    <w:p>
      <w:r>
        <w:rPr>
          <w:rFonts w:ascii="Aptos" w:hAnsi="Aptos"/>
          <w:b w:val="0"/>
          <w:i w:val="0"/>
        </w:rPr>
        <w:t>Convert the design into a continuous, dependency-aware implementation sequence starting after the current repository ledger maximum of Phase 352.</w:t>
      </w:r>
    </w:p>
    <w:p>
      <w:pPr>
        <w:pStyle w:val="Heading1"/>
      </w:pPr>
      <w:r>
        <w:t>Dependencies</w:t>
      </w:r>
    </w:p>
    <w:p>
      <w:pPr>
        <w:pStyle w:val="ListBullet"/>
      </w:pPr>
      <w:r>
        <w:rPr>
          <w:rFonts w:ascii="Aptos" w:hAnsi="Aptos"/>
          <w:b w:val="0"/>
          <w:i w:val="0"/>
        </w:rPr>
        <w:t>Sections 00-07.</w:t>
      </w:r>
    </w:p>
    <w:p>
      <w:pPr>
        <w:pStyle w:val="ListBullet"/>
      </w:pPr>
      <w:r>
        <w:rPr>
          <w:rFonts w:ascii="Aptos" w:hAnsi="Aptos"/>
          <w:b w:val="0"/>
          <w:i w:val="0"/>
        </w:rPr>
        <w:t>Current phase ledger re-check before implementation.</w:t>
      </w:r>
    </w:p>
    <w:p>
      <w:pPr>
        <w:pStyle w:val="ListBullet"/>
      </w:pPr>
      <w:r>
        <w:rPr>
          <w:rFonts w:ascii="Aptos" w:hAnsi="Aptos"/>
          <w:b w:val="0"/>
          <w:i w:val="0"/>
        </w:rPr>
        <w:t>Local-only execution constraint.</w:t>
      </w:r>
    </w:p>
    <w:p>
      <w:pPr>
        <w:pStyle w:val="Heading1"/>
      </w:pPr>
      <w:r>
        <w:t>Confirmed Facts</w:t>
      </w:r>
    </w:p>
    <w:p>
      <w:pPr>
        <w:pStyle w:val="ListBullet"/>
      </w:pPr>
      <w:r>
        <w:rPr>
          <w:rFonts w:ascii="Aptos" w:hAnsi="Aptos"/>
          <w:b w:val="0"/>
          <w:i w:val="0"/>
        </w:rPr>
        <w:t>The phase ledger highest observed phase is 352 and is marked in_progress.</w:t>
      </w:r>
    </w:p>
    <w:p>
      <w:pPr>
        <w:pStyle w:val="ListBullet"/>
      </w:pPr>
      <w:r>
        <w:rPr>
          <w:rFonts w:ascii="Aptos" w:hAnsi="Aptos"/>
          <w:b w:val="0"/>
          <w:i w:val="0"/>
        </w:rPr>
        <w:t>The plan therefore proposes Phase 353 onward without modifying Phase 352.</w:t>
      </w:r>
    </w:p>
    <w:p>
      <w:pPr>
        <w:pStyle w:val="ListBullet"/>
      </w:pPr>
      <w:r>
        <w:rPr>
          <w:rFonts w:ascii="Aptos" w:hAnsi="Aptos"/>
          <w:b w:val="0"/>
          <w:i w:val="0"/>
        </w:rPr>
        <w:t>The sequence is intentionally additive and reversible; phases cannot be marked completed until their acceptance and validation evidence passes.</w:t>
      </w:r>
    </w:p>
    <w:p>
      <w:pPr>
        <w:pStyle w:val="ListBullet"/>
      </w:pPr>
      <w:r>
        <w:rPr>
          <w:rFonts w:ascii="Aptos" w:hAnsi="Aptos"/>
          <w:b w:val="0"/>
          <w:i w:val="0"/>
        </w:rPr>
        <w:t>Some phases are documentary/operational, not code-only. They still require owners, tests, and evidence.</w:t>
      </w:r>
    </w:p>
    <w:p>
      <w:pPr>
        <w:pStyle w:val="Heading1"/>
      </w:pPr>
      <w:r>
        <w:t>Assumptions and Unknowns</w:t>
      </w:r>
    </w:p>
    <w:p>
      <w:pPr>
        <w:pStyle w:val="ListBullet"/>
      </w:pPr>
      <w:r>
        <w:rPr>
          <w:rFonts w:ascii="Aptos" w:hAnsi="Aptos"/>
          <w:b w:val="0"/>
          <w:i w:val="0"/>
        </w:rPr>
        <w:t>The phase ledger remains at 352 when implementation starts; if another phase is added first, renumbering is not allowed and this plan must be reconciled.</w:t>
      </w:r>
    </w:p>
    <w:p>
      <w:pPr>
        <w:pStyle w:val="ListBullet"/>
      </w:pPr>
      <w:r>
        <w:rPr>
          <w:rFonts w:ascii="Aptos" w:hAnsi="Aptos"/>
          <w:b w:val="0"/>
          <w:i w:val="0"/>
        </w:rPr>
        <w:t>Implementation branches will be clean or path-scoped; unrelated dirty root changes remain untouched.</w:t>
      </w:r>
    </w:p>
    <w:p>
      <w:pPr>
        <w:pStyle w:val="ListBullet"/>
      </w:pPr>
      <w:r>
        <w:rPr>
          <w:rFonts w:ascii="Aptos" w:hAnsi="Aptos"/>
          <w:b w:val="0"/>
          <w:i w:val="0"/>
        </w:rPr>
        <w:t>Each phase may be split into PR-sized commits, but the continuous phase number remains the same.</w:t>
      </w:r>
    </w:p>
    <w:p>
      <w:pPr>
        <w:pStyle w:val="Heading1"/>
      </w:pPr>
      <w:r>
        <w:t>Requirements Covered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1440"/>
            <w:shd w:fill="315B7D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ID</w:t>
            </w:r>
          </w:p>
        </w:tc>
        <w:tc>
          <w:tcPr>
            <w:tcW w:type="dxa" w:w="9216"/>
            <w:shd w:fill="315B7D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Requirement</w:t>
            </w:r>
          </w:p>
        </w:tc>
      </w:tr>
      <w:tr>
        <w:tc>
          <w:tcPr>
            <w:tcW w:type="dxa" w:w="144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OPS-401</w:t>
            </w:r>
          </w:p>
        </w:tc>
        <w:tc>
          <w:tcPr>
            <w:tcW w:type="dxa" w:w="9216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Maintain continuous phase numbering and evidence-backed completion.</w:t>
            </w:r>
          </w:p>
        </w:tc>
      </w:tr>
      <w:tr>
        <w:tc>
          <w:tcPr>
            <w:tcW w:type="dxa" w:w="1440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FR-401 to FR-410</w:t>
            </w:r>
          </w:p>
        </w:tc>
        <w:tc>
          <w:tcPr>
            <w:tcW w:type="dxa" w:w="9216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Implement Items 4 through 14 in dependency order.</w:t>
            </w:r>
          </w:p>
        </w:tc>
      </w:tr>
      <w:tr>
        <w:tc>
          <w:tcPr>
            <w:tcW w:type="dxa" w:w="144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MIG-401</w:t>
            </w:r>
          </w:p>
        </w:tc>
        <w:tc>
          <w:tcPr>
            <w:tcW w:type="dxa" w:w="9216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Run additive schema and tenant-clone validation before behavior gates.</w:t>
            </w:r>
          </w:p>
        </w:tc>
      </w:tr>
      <w:tr>
        <w:tc>
          <w:tcPr>
            <w:tcW w:type="dxa" w:w="1440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TEST-480</w:t>
            </w:r>
          </w:p>
        </w:tc>
        <w:tc>
          <w:tcPr>
            <w:tcW w:type="dxa" w:w="9216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Each phase has tests and exit criteria.</w:t>
            </w:r>
          </w:p>
        </w:tc>
      </w:tr>
      <w:tr>
        <w:tc>
          <w:tcPr>
            <w:tcW w:type="dxa" w:w="144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AC-480</w:t>
            </w:r>
          </w:p>
        </w:tc>
        <w:tc>
          <w:tcPr>
            <w:tcW w:type="dxa" w:w="9216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Do not mark a phase completed on code existence alone.</w:t>
            </w:r>
          </w:p>
        </w:tc>
      </w:tr>
    </w:tbl>
    <w:p>
      <w:pPr>
        <w:spacing w:after="40"/>
      </w:pPr>
    </w:p>
    <w:p>
      <w:pPr>
        <w:pStyle w:val="Heading1"/>
      </w:pPr>
      <w:r>
        <w:t>Plan Content</w:t>
      </w:r>
    </w:p>
    <w:p>
      <w:pPr>
        <w:pStyle w:val="Heading2"/>
      </w:pPr>
      <w:r>
        <w:t>Proposed phase sequence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</w:trPr>
        <w:tc>
          <w:tcPr>
            <w:tcW w:type="dxa" w:w="936"/>
            <w:shd w:fill="315B7D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r>
              <w:rPr>
                <w:rFonts w:ascii="Aptos" w:hAnsi="Aptos"/>
                <w:b/>
                <w:i w:val="0"/>
                <w:color w:val="FFFFFF"/>
                <w:sz w:val="15"/>
              </w:rPr>
              <w:t>Phase</w:t>
            </w:r>
          </w:p>
        </w:tc>
        <w:tc>
          <w:tcPr>
            <w:tcW w:type="dxa" w:w="2520"/>
            <w:shd w:fill="315B7D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r>
              <w:rPr>
                <w:rFonts w:ascii="Aptos" w:hAnsi="Aptos"/>
                <w:b/>
                <w:i w:val="0"/>
                <w:color w:val="FFFFFF"/>
                <w:sz w:val="15"/>
              </w:rPr>
              <w:t>Objective</w:t>
            </w:r>
          </w:p>
        </w:tc>
        <w:tc>
          <w:tcPr>
            <w:tcW w:type="dxa" w:w="3240"/>
            <w:shd w:fill="315B7D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r>
              <w:rPr>
                <w:rFonts w:ascii="Aptos" w:hAnsi="Aptos"/>
                <w:b/>
                <w:i w:val="0"/>
                <w:color w:val="FFFFFF"/>
                <w:sz w:val="15"/>
              </w:rPr>
              <w:t>Main output</w:t>
            </w:r>
          </w:p>
        </w:tc>
        <w:tc>
          <w:tcPr>
            <w:tcW w:type="dxa" w:w="1800"/>
            <w:shd w:fill="315B7D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r>
              <w:rPr>
                <w:rFonts w:ascii="Aptos" w:hAnsi="Aptos"/>
                <w:b/>
                <w:i w:val="0"/>
                <w:color w:val="FFFFFF"/>
                <w:sz w:val="15"/>
              </w:rPr>
              <w:t>Depends on</w:t>
            </w:r>
          </w:p>
        </w:tc>
        <w:tc>
          <w:tcPr>
            <w:tcW w:type="dxa" w:w="2160"/>
            <w:shd w:fill="315B7D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r>
              <w:rPr>
                <w:rFonts w:ascii="Aptos" w:hAnsi="Aptos"/>
                <w:b/>
                <w:i w:val="0"/>
                <w:color w:val="FFFFFF"/>
                <w:sz w:val="15"/>
              </w:rPr>
              <w:t>Exit gate</w:t>
            </w:r>
          </w:p>
        </w:tc>
      </w:tr>
      <w:tr>
        <w:tc>
          <w:tcPr>
            <w:tcW w:type="dxa" w:w="936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353</w:t>
            </w:r>
          </w:p>
        </w:tc>
        <w:tc>
          <w:tcPr>
            <w:tcW w:type="dxa" w:w="252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Source lock and control matrix</w:t>
            </w:r>
          </w:p>
        </w:tc>
        <w:tc>
          <w:tcPr>
            <w:tcW w:type="dxa" w:w="324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Current BIR/tax/e-journal source decision, Annex matrix, fixture registry, ADR/compliance declaration.</w:t>
            </w:r>
          </w:p>
        </w:tc>
        <w:tc>
          <w:tcPr>
            <w:tcW w:type="dxa" w:w="180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Current ledger</w:t>
            </w:r>
          </w:p>
        </w:tc>
        <w:tc>
          <w:tcPr>
            <w:tcW w:type="dxa" w:w="216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Sources and owners locked; no invented grammar.</w:t>
            </w:r>
          </w:p>
        </w:tc>
      </w:tr>
      <w:tr>
        <w:tc>
          <w:tcPr>
            <w:tcW w:type="dxa" w:w="936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354</w:t>
            </w:r>
          </w:p>
        </w:tc>
        <w:tc>
          <w:tcPr>
            <w:tcW w:type="dxa" w:w="2520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Fiscal receipt completeness</w:t>
            </w:r>
          </w:p>
        </w:tc>
        <w:tc>
          <w:tcPr>
            <w:tcW w:type="dxa" w:w="3240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Item 4 scenario contracts, fixtures, renderer/evidence samples, reconciliation.</w:t>
            </w:r>
          </w:p>
        </w:tc>
        <w:tc>
          <w:tcPr>
            <w:tcW w:type="dxa" w:w="1800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353</w:t>
            </w:r>
          </w:p>
        </w:tc>
        <w:tc>
          <w:tcPr>
            <w:tcW w:type="dxa" w:w="2160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All applicable receipt fixtures pass.</w:t>
            </w:r>
          </w:p>
        </w:tc>
      </w:tr>
      <w:tr>
        <w:tc>
          <w:tcPr>
            <w:tcW w:type="dxa" w:w="936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355</w:t>
            </w:r>
          </w:p>
        </w:tc>
        <w:tc>
          <w:tcPr>
            <w:tcW w:type="dxa" w:w="252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Adjustment document lifecycle</w:t>
            </w:r>
          </w:p>
        </w:tc>
        <w:tc>
          <w:tcPr>
            <w:tcW w:type="dxa" w:w="324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Item 5 cancel/void/refund/return decision and immutable linked documents.</w:t>
            </w:r>
          </w:p>
        </w:tc>
        <w:tc>
          <w:tcPr>
            <w:tcW w:type="dxa" w:w="180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353, 354</w:t>
            </w:r>
          </w:p>
        </w:tc>
        <w:tc>
          <w:tcPr>
            <w:tcW w:type="dxa" w:w="216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Every applicable adjustment sample links original number.</w:t>
            </w:r>
          </w:p>
        </w:tc>
      </w:tr>
      <w:tr>
        <w:tc>
          <w:tcPr>
            <w:tcW w:type="dxa" w:w="936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356</w:t>
            </w:r>
          </w:p>
        </w:tc>
        <w:tc>
          <w:tcPr>
            <w:tcW w:type="dxa" w:w="2520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X/Z readings and reconciliation</w:t>
            </w:r>
          </w:p>
        </w:tc>
        <w:tc>
          <w:tcPr>
            <w:tcW w:type="dxa" w:w="3240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Item 6 payload/print/evidence outputs and source reconciliation.</w:t>
            </w:r>
          </w:p>
        </w:tc>
        <w:tc>
          <w:tcPr>
            <w:tcW w:type="dxa" w:w="1800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354, 355</w:t>
            </w:r>
          </w:p>
        </w:tc>
        <w:tc>
          <w:tcPr>
            <w:tcW w:type="dxa" w:w="2160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X/Z totals and snapshots reconcile.</w:t>
            </w:r>
          </w:p>
        </w:tc>
      </w:tr>
      <w:tr>
        <w:tc>
          <w:tcPr>
            <w:tcW w:type="dxa" w:w="936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357</w:t>
            </w:r>
          </w:p>
        </w:tc>
        <w:tc>
          <w:tcPr>
            <w:tcW w:type="dxa" w:w="252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Report catalog and samples</w:t>
            </w:r>
          </w:p>
        </w:tc>
        <w:tc>
          <w:tcPr>
            <w:tcW w:type="dxa" w:w="324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Item 7 report inventory, applicability, samples, checksums, reviewer view.</w:t>
            </w:r>
          </w:p>
        </w:tc>
        <w:tc>
          <w:tcPr>
            <w:tcW w:type="dxa" w:w="180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354-356</w:t>
            </w:r>
          </w:p>
        </w:tc>
        <w:tc>
          <w:tcPr>
            <w:tcW w:type="dxa" w:w="216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Catalog equals exposed report capability.</w:t>
            </w:r>
          </w:p>
        </w:tc>
      </w:tr>
      <w:tr>
        <w:tc>
          <w:tcPr>
            <w:tcW w:type="dxa" w:w="936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358</w:t>
            </w:r>
          </w:p>
        </w:tc>
        <w:tc>
          <w:tcPr>
            <w:tcW w:type="dxa" w:w="2520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E-journal serializer and export</w:t>
            </w:r>
          </w:p>
        </w:tc>
        <w:tc>
          <w:tcPr>
            <w:tcW w:type="dxa" w:w="3240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Item 8 versioned .txt, hard-copy projection, manifest, completeness gate.</w:t>
            </w:r>
          </w:p>
        </w:tc>
        <w:tc>
          <w:tcPr>
            <w:tcW w:type="dxa" w:w="1800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353-357</w:t>
            </w:r>
          </w:p>
        </w:tc>
        <w:tc>
          <w:tcPr>
            <w:tcW w:type="dxa" w:w="2160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One-to-one source mapping and hash parity.</w:t>
            </w:r>
          </w:p>
        </w:tc>
      </w:tr>
      <w:tr>
        <w:tc>
          <w:tcPr>
            <w:tcW w:type="dxa" w:w="936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359</w:t>
            </w:r>
          </w:p>
        </w:tc>
        <w:tc>
          <w:tcPr>
            <w:tcW w:type="dxa" w:w="252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System narrative, version, connectivity</w:t>
            </w:r>
          </w:p>
        </w:tc>
        <w:tc>
          <w:tcPr>
            <w:tcW w:type="dxa" w:w="324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Items 9-11 refreshed docs, screenshots, online/offline evidence.</w:t>
            </w:r>
          </w:p>
        </w:tc>
        <w:tc>
          <w:tcPr>
            <w:tcW w:type="dxa" w:w="180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354-358</w:t>
            </w:r>
          </w:p>
        </w:tc>
        <w:tc>
          <w:tcPr>
            <w:tcW w:type="dxa" w:w="216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Screenshots and narrative match exact build.</w:t>
            </w:r>
          </w:p>
        </w:tc>
      </w:tr>
      <w:tr>
        <w:tc>
          <w:tcPr>
            <w:tcW w:type="dxa" w:w="936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360</w:t>
            </w:r>
          </w:p>
        </w:tc>
        <w:tc>
          <w:tcPr>
            <w:tcW w:type="dxa" w:w="2520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Manual, audit, DRP</w:t>
            </w:r>
          </w:p>
        </w:tc>
        <w:tc>
          <w:tcPr>
            <w:tcW w:type="dxa" w:w="3240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Items 12-14 manual, audit print/export, DRP, restore/encryption proof.</w:t>
            </w:r>
          </w:p>
        </w:tc>
        <w:tc>
          <w:tcPr>
            <w:tcW w:type="dxa" w:w="1800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353-359</w:t>
            </w:r>
          </w:p>
        </w:tc>
        <w:tc>
          <w:tcPr>
            <w:tcW w:type="dxa" w:w="2160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Operator/manual and DR drill gates pass.</w:t>
            </w:r>
          </w:p>
        </w:tc>
      </w:tr>
      <w:tr>
        <w:tc>
          <w:tcPr>
            <w:tcW w:type="dxa" w:w="936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361</w:t>
            </w:r>
          </w:p>
        </w:tc>
        <w:tc>
          <w:tcPr>
            <w:tcW w:type="dxa" w:w="252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Security, migration, and readiness gate</w:t>
            </w:r>
          </w:p>
        </w:tc>
        <w:tc>
          <w:tcPr>
            <w:tcW w:type="dxa" w:w="324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RBAC, append-only, schema, retention, artifact freshness, computed score.</w:t>
            </w:r>
          </w:p>
        </w:tc>
        <w:tc>
          <w:tcPr>
            <w:tcW w:type="dxa" w:w="180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353-360</w:t>
            </w:r>
          </w:p>
        </w:tc>
        <w:tc>
          <w:tcPr>
            <w:tcW w:type="dxa" w:w="216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Security/migration/compliance gates pass.</w:t>
            </w:r>
          </w:p>
        </w:tc>
      </w:tr>
      <w:tr>
        <w:tc>
          <w:tcPr>
            <w:tcW w:type="dxa" w:w="936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362</w:t>
            </w:r>
          </w:p>
        </w:tc>
        <w:tc>
          <w:tcPr>
            <w:tcW w:type="dxa" w:w="2520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Local release rehearsal and evidence freeze</w:t>
            </w:r>
          </w:p>
        </w:tc>
        <w:tc>
          <w:tcPr>
            <w:tcW w:type="dxa" w:w="3240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Local build, tests, evidence packet, rollback rehearsal, internal sign-off.</w:t>
            </w:r>
          </w:p>
        </w:tc>
        <w:tc>
          <w:tcPr>
            <w:tcW w:type="dxa" w:w="1800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361</w:t>
            </w:r>
          </w:p>
        </w:tc>
        <w:tc>
          <w:tcPr>
            <w:tcW w:type="dxa" w:w="2160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All Items 4-14 internal pass or approved N/A; external pending listed.</w:t>
            </w:r>
          </w:p>
        </w:tc>
      </w:tr>
    </w:tbl>
    <w:p>
      <w:pPr>
        <w:spacing w:after="40"/>
      </w:pPr>
    </w:p>
    <w:p>
      <w:pPr>
        <w:pStyle w:val="Heading2"/>
      </w:pPr>
      <w:r>
        <w:t>Phase execution rules</w:t>
      </w:r>
    </w:p>
    <w:p>
      <w:pPr>
        <w:pStyle w:val="ListBullet"/>
      </w:pPr>
      <w:r>
        <w:rPr>
          <w:rFonts w:ascii="Aptos" w:hAnsi="Aptos"/>
          <w:b w:val="0"/>
          <w:i w:val="0"/>
        </w:rPr>
        <w:t>Phase 353 is a hard stop for unresolved source/grammar/tax decisions. Later phases may build scaffolding, but final evidence cannot be frozen before it passes.</w:t>
      </w:r>
    </w:p>
    <w:p>
      <w:pPr>
        <w:pStyle w:val="ListBullet"/>
      </w:pPr>
      <w:r>
        <w:rPr>
          <w:rFonts w:ascii="Aptos" w:hAnsi="Aptos"/>
          <w:b w:val="0"/>
          <w:i w:val="0"/>
        </w:rPr>
        <w:t>Phases 354 through 358 are the core fiscal/report/e-journal runtime work. They must share immutable source records and one reconciliation strategy.</w:t>
      </w:r>
    </w:p>
    <w:p>
      <w:pPr>
        <w:pStyle w:val="ListBullet"/>
      </w:pPr>
      <w:r>
        <w:rPr>
          <w:rFonts w:ascii="Aptos" w:hAnsi="Aptos"/>
          <w:b w:val="0"/>
          <w:i w:val="0"/>
        </w:rPr>
        <w:t>Phases 359 and 360 produce documentary evidence only after the tested runtime behavior is stable; screenshots/manual/DRP generated earlier are drafts.</w:t>
      </w:r>
    </w:p>
    <w:p>
      <w:pPr>
        <w:pStyle w:val="ListBullet"/>
      </w:pPr>
      <w:r>
        <w:rPr>
          <w:rFonts w:ascii="Aptos" w:hAnsi="Aptos"/>
          <w:b w:val="0"/>
          <w:i w:val="0"/>
        </w:rPr>
        <w:t>Phase 361 is the gate that prevents a green UI or PR from being called 100 percent when permissions, tenant scope, migration, immutability, or artifact freshness fail.</w:t>
      </w:r>
    </w:p>
    <w:p>
      <w:pPr>
        <w:pStyle w:val="ListBullet"/>
      </w:pPr>
      <w:r>
        <w:rPr>
          <w:rFonts w:ascii="Aptos" w:hAnsi="Aptos"/>
          <w:b w:val="0"/>
          <w:i w:val="0"/>
        </w:rPr>
        <w:t>Phase 362 is local-only release rehearsal. It does not deploy staging or production, and it does not claim external BIR acceptance.</w:t>
      </w:r>
    </w:p>
    <w:p>
      <w:pPr>
        <w:pStyle w:val="Heading2"/>
      </w:pPr>
      <w:r>
        <w:t>Parallel work allowed</w:t>
      </w:r>
    </w:p>
    <w:p>
      <w:pPr>
        <w:pStyle w:val="ListBullet"/>
      </w:pPr>
      <w:r>
        <w:rPr>
          <w:rFonts w:ascii="Aptos" w:hAnsi="Aptos"/>
          <w:b w:val="0"/>
          <w:i w:val="0"/>
        </w:rPr>
        <w:t>Phase 353 source review, control matrix drafting, and current evidence inventory may run in parallel, but the grammar and legal decisions must converge before serializer freeze.</w:t>
      </w:r>
    </w:p>
    <w:p>
      <w:pPr>
        <w:pStyle w:val="ListBullet"/>
      </w:pPr>
      <w:r>
        <w:rPr>
          <w:rFonts w:ascii="Aptos" w:hAnsi="Aptos"/>
          <w:b w:val="0"/>
          <w:i w:val="0"/>
        </w:rPr>
        <w:t>The Item 9 narrative skeleton, Item 12 manual outline, and Item 14 DRP review can run in parallel with runtime work; their final versions depend on tested behavior.</w:t>
      </w:r>
    </w:p>
    <w:p>
      <w:pPr>
        <w:pStyle w:val="ListBullet"/>
      </w:pPr>
      <w:r>
        <w:rPr>
          <w:rFonts w:ascii="Aptos" w:hAnsi="Aptos"/>
          <w:b w:val="0"/>
          <w:i w:val="0"/>
        </w:rPr>
        <w:t>Security/permission design and migration design may run in parallel with UI design; no UI action may be exposed before backend authorization contracts exist.</w:t>
      </w:r>
    </w:p>
    <w:p>
      <w:pPr>
        <w:pStyle w:val="Heading1"/>
      </w:pPr>
      <w:r>
        <w:t>Affected System Components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1944"/>
            <w:shd w:fill="315B7D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Classification</w:t>
            </w:r>
          </w:p>
        </w:tc>
        <w:tc>
          <w:tcPr>
            <w:tcW w:type="dxa" w:w="8712"/>
            <w:shd w:fill="315B7D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Components and expected treatment</w:t>
            </w:r>
          </w:p>
        </w:tc>
      </w:tr>
      <w:tr>
        <w:tc>
          <w:tcPr>
            <w:tcW w:type="dxa" w:w="1944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Phase ledger</w:t>
            </w:r>
          </w:p>
        </w:tc>
        <w:tc>
          <w:tcPr>
            <w:tcW w:type="dxa" w:w="8712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docs/features/IMPLEMENTATION_PHASE_LEDGER.md; reserve 353 after reconciliation and record status/evidence links.</w:t>
            </w:r>
          </w:p>
        </w:tc>
      </w:tr>
      <w:tr>
        <w:tc>
          <w:tcPr>
            <w:tcW w:type="dxa" w:w="1944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Implementation</w:t>
            </w:r>
          </w:p>
        </w:tc>
        <w:tc>
          <w:tcPr>
            <w:tcW w:type="dxa" w:w="8712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apps/dgfy-api, apps/dgfy-migration-runner, apps/dgfy-pos, packages/web-core, packages/pos-receipt.</w:t>
            </w:r>
          </w:p>
        </w:tc>
      </w:tr>
      <w:tr>
        <w:tc>
          <w:tcPr>
            <w:tcW w:type="dxa" w:w="1944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Evidence</w:t>
            </w:r>
          </w:p>
        </w:tc>
        <w:tc>
          <w:tcPr>
            <w:tcW w:type="dxa" w:w="8712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docs/compliance, generated local evidence, final-review artifacts, test reports.</w:t>
            </w:r>
          </w:p>
        </w:tc>
      </w:tr>
      <w:tr>
        <w:tc>
          <w:tcPr>
            <w:tcW w:type="dxa" w:w="1944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Release</w:t>
            </w:r>
          </w:p>
        </w:tc>
        <w:tc>
          <w:tcPr>
            <w:tcW w:type="dxa" w:w="8712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Local stack, local MySQL/Redis where required, builds, rollback rehearsal; no staging dependency.</w:t>
            </w:r>
          </w:p>
        </w:tc>
      </w:tr>
    </w:tbl>
    <w:p>
      <w:pPr>
        <w:spacing w:after="40"/>
      </w:pPr>
    </w:p>
    <w:p>
      <w:pPr>
        <w:pStyle w:val="Heading1"/>
      </w:pPr>
      <w:r>
        <w:t>Risks and Mitigations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008"/>
            <w:shd w:fill="315B7D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r>
              <w:rPr>
                <w:rFonts w:ascii="Aptos" w:hAnsi="Aptos"/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3888"/>
            <w:shd w:fill="315B7D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r>
              <w:rPr>
                <w:rFonts w:ascii="Aptos" w:hAnsi="Aptos"/>
                <w:b/>
                <w:i w:val="0"/>
                <w:color w:val="FFFFFF"/>
                <w:sz w:val="15"/>
              </w:rPr>
              <w:t>Risk</w:t>
            </w:r>
          </w:p>
        </w:tc>
        <w:tc>
          <w:tcPr>
            <w:tcW w:type="dxa" w:w="5760"/>
            <w:shd w:fill="315B7D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r>
              <w:rPr>
                <w:rFonts w:ascii="Aptos" w:hAnsi="Aptos"/>
                <w:b/>
                <w:i w:val="0"/>
                <w:color w:val="FFFFFF"/>
                <w:sz w:val="15"/>
              </w:rPr>
              <w:t>Mitigation</w:t>
            </w:r>
          </w:p>
        </w:tc>
      </w:tr>
      <w:tr>
        <w:tc>
          <w:tcPr>
            <w:tcW w:type="dxa" w:w="1008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R-080</w:t>
            </w:r>
          </w:p>
        </w:tc>
        <w:tc>
          <w:tcPr>
            <w:tcW w:type="dxa" w:w="3888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Phase 352 remains incomplete and phase numbering drifts.</w:t>
            </w:r>
          </w:p>
        </w:tc>
        <w:tc>
          <w:tcPr>
            <w:tcW w:type="dxa" w:w="576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Re-check ledger; preserve 352; reserve 353 only after sequence reconciliation.</w:t>
            </w:r>
          </w:p>
        </w:tc>
      </w:tr>
      <w:tr>
        <w:tc>
          <w:tcPr>
            <w:tcW w:type="dxa" w:w="1008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R-081</w:t>
            </w:r>
          </w:p>
        </w:tc>
        <w:tc>
          <w:tcPr>
            <w:tcW w:type="dxa" w:w="3888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A later phase starts before grammar/source lock.</w:t>
            </w:r>
          </w:p>
        </w:tc>
        <w:tc>
          <w:tcPr>
            <w:tcW w:type="dxa" w:w="5760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Keep Phase 353 exit gate mandatory for final completion.</w:t>
            </w:r>
          </w:p>
        </w:tc>
      </w:tr>
      <w:tr>
        <w:tc>
          <w:tcPr>
            <w:tcW w:type="dxa" w:w="1008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R-082</w:t>
            </w:r>
          </w:p>
        </w:tc>
        <w:tc>
          <w:tcPr>
            <w:tcW w:type="dxa" w:w="3888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Document work is treated as optional.</w:t>
            </w:r>
          </w:p>
        </w:tc>
        <w:tc>
          <w:tcPr>
            <w:tcW w:type="dxa" w:w="576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Make each document/manual/drill an acceptance artifact and owner.</w:t>
            </w:r>
          </w:p>
        </w:tc>
      </w:tr>
      <w:tr>
        <w:tc>
          <w:tcPr>
            <w:tcW w:type="dxa" w:w="1008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R-083</w:t>
            </w:r>
          </w:p>
        </w:tc>
        <w:tc>
          <w:tcPr>
            <w:tcW w:type="dxa" w:w="3888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Phase completion is asserted from PR status.</w:t>
            </w:r>
          </w:p>
        </w:tc>
        <w:tc>
          <w:tcPr>
            <w:tcW w:type="dxa" w:w="5760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Require automated/manual evidence and phase ledger entry.</w:t>
            </w:r>
          </w:p>
        </w:tc>
      </w:tr>
    </w:tbl>
    <w:p>
      <w:pPr>
        <w:spacing w:after="40"/>
      </w:pPr>
    </w:p>
    <w:p>
      <w:pPr>
        <w:pStyle w:val="Heading1"/>
      </w:pPr>
      <w:r>
        <w:t>Tests Required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224"/>
            <w:shd w:fill="315B7D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r>
              <w:rPr>
                <w:rFonts w:ascii="Aptos" w:hAnsi="Aptos"/>
                <w:b/>
                <w:i w:val="0"/>
                <w:color w:val="FFFFFF"/>
                <w:sz w:val="15"/>
              </w:rPr>
              <w:t>Test ID</w:t>
            </w:r>
          </w:p>
        </w:tc>
        <w:tc>
          <w:tcPr>
            <w:tcW w:type="dxa" w:w="1728"/>
            <w:shd w:fill="315B7D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r>
              <w:rPr>
                <w:rFonts w:ascii="Aptos" w:hAnsi="Aptos"/>
                <w:b/>
                <w:i w:val="0"/>
                <w:color w:val="FFFFFF"/>
                <w:sz w:val="15"/>
              </w:rPr>
              <w:t>Type</w:t>
            </w:r>
          </w:p>
        </w:tc>
        <w:tc>
          <w:tcPr>
            <w:tcW w:type="dxa" w:w="7704"/>
            <w:shd w:fill="315B7D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r>
              <w:rPr>
                <w:rFonts w:ascii="Aptos" w:hAnsi="Aptos"/>
                <w:b/>
                <w:i w:val="0"/>
                <w:color w:val="FFFFFF"/>
                <w:sz w:val="15"/>
              </w:rPr>
              <w:t>Scenario and evidence</w:t>
            </w:r>
          </w:p>
        </w:tc>
      </w:tr>
      <w:tr>
        <w:tc>
          <w:tcPr>
            <w:tcW w:type="dxa" w:w="1224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TEST-480</w:t>
            </w:r>
          </w:p>
        </w:tc>
        <w:tc>
          <w:tcPr>
            <w:tcW w:type="dxa" w:w="1728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Ledger</w:t>
            </w:r>
          </w:p>
        </w:tc>
        <w:tc>
          <w:tcPr>
            <w:tcW w:type="dxa" w:w="7704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Verify phase numbers, status vocabulary, dependency links, evidence paths, and completion date rules.</w:t>
            </w:r>
          </w:p>
        </w:tc>
      </w:tr>
      <w:tr>
        <w:tc>
          <w:tcPr>
            <w:tcW w:type="dxa" w:w="1224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TEST-481</w:t>
            </w:r>
          </w:p>
        </w:tc>
        <w:tc>
          <w:tcPr>
            <w:tcW w:type="dxa" w:w="1728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Phase gates</w:t>
            </w:r>
          </w:p>
        </w:tc>
        <w:tc>
          <w:tcPr>
            <w:tcW w:type="dxa" w:w="7704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Run each phase's targeted tests and record pass/fail/blocked evidence.</w:t>
            </w:r>
          </w:p>
        </w:tc>
      </w:tr>
      <w:tr>
        <w:tc>
          <w:tcPr>
            <w:tcW w:type="dxa" w:w="1224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TEST-482</w:t>
            </w:r>
          </w:p>
        </w:tc>
        <w:tc>
          <w:tcPr>
            <w:tcW w:type="dxa" w:w="1728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Dependency</w:t>
            </w:r>
          </w:p>
        </w:tc>
        <w:tc>
          <w:tcPr>
            <w:tcW w:type="dxa" w:w="7704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Attempt final readiness with each prerequisite missing and verify deterministic blocker.</w:t>
            </w:r>
          </w:p>
        </w:tc>
      </w:tr>
      <w:tr>
        <w:tc>
          <w:tcPr>
            <w:tcW w:type="dxa" w:w="1224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TEST-483</w:t>
            </w:r>
          </w:p>
        </w:tc>
        <w:tc>
          <w:tcPr>
            <w:tcW w:type="dxa" w:w="1728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Local release</w:t>
            </w:r>
          </w:p>
        </w:tc>
        <w:tc>
          <w:tcPr>
            <w:tcW w:type="dxa" w:w="7704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Run complete local gates and ensure no staging credentials or network dependency is required.</w:t>
            </w:r>
          </w:p>
        </w:tc>
      </w:tr>
    </w:tbl>
    <w:p>
      <w:pPr>
        <w:spacing w:after="40"/>
      </w:pPr>
    </w:p>
    <w:p>
      <w:pPr>
        <w:pStyle w:val="Heading1"/>
      </w:pPr>
      <w:r>
        <w:t>Acceptance Criteria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1224"/>
            <w:shd w:fill="315B7D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ID</w:t>
            </w:r>
          </w:p>
        </w:tc>
        <w:tc>
          <w:tcPr>
            <w:tcW w:type="dxa" w:w="9432"/>
            <w:shd w:fill="315B7D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Measurable acceptance criterion</w:t>
            </w:r>
          </w:p>
        </w:tc>
      </w:tr>
      <w:tr>
        <w:tc>
          <w:tcPr>
            <w:tcW w:type="dxa" w:w="1224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AC-480</w:t>
            </w:r>
          </w:p>
        </w:tc>
        <w:tc>
          <w:tcPr>
            <w:tcW w:type="dxa" w:w="9432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The implementation sequence starts at proposed Phase 353 and does not reset numbering or overwrite Phase 352.</w:t>
            </w:r>
          </w:p>
        </w:tc>
      </w:tr>
      <w:tr>
        <w:tc>
          <w:tcPr>
            <w:tcW w:type="dxa" w:w="1224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AC-481</w:t>
            </w:r>
          </w:p>
        </w:tc>
        <w:tc>
          <w:tcPr>
            <w:tcW w:type="dxa" w:w="9432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Every phase has objective, output, dependency, risks, tests, and exit gate.</w:t>
            </w:r>
          </w:p>
        </w:tc>
      </w:tr>
      <w:tr>
        <w:tc>
          <w:tcPr>
            <w:tcW w:type="dxa" w:w="1224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AC-482</w:t>
            </w:r>
          </w:p>
        </w:tc>
        <w:tc>
          <w:tcPr>
            <w:tcW w:type="dxa" w:w="9432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No phase is eligible for completed status without its evidence and acceptance gates.</w:t>
            </w:r>
          </w:p>
        </w:tc>
      </w:tr>
      <w:tr>
        <w:tc>
          <w:tcPr>
            <w:tcW w:type="dxa" w:w="1224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AC-483</w:t>
            </w:r>
          </w:p>
        </w:tc>
        <w:tc>
          <w:tcPr>
            <w:tcW w:type="dxa" w:w="9432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The sequence ends in a local release/evidence freeze, not an unapproved deploy.</w:t>
            </w:r>
          </w:p>
        </w:tc>
      </w:tr>
    </w:tbl>
    <w:p>
      <w:pPr>
        <w:spacing w:after="40"/>
      </w:pPr>
    </w:p>
    <w:p>
      <w:pPr>
        <w:pStyle w:val="Heading1"/>
      </w:pPr>
      <w:r>
        <w:t>Execution Dependencies</w:t>
      </w:r>
    </w:p>
    <w:p>
      <w:pPr>
        <w:pStyle w:val="ListNumber"/>
      </w:pPr>
      <w:r>
        <w:rPr>
          <w:rFonts w:ascii="Aptos" w:hAnsi="Aptos"/>
          <w:b w:val="0"/>
          <w:i w:val="0"/>
        </w:rPr>
        <w:t>Re-read the phase ledger immediately before creating the implementation branch.</w:t>
      </w:r>
    </w:p>
    <w:p>
      <w:pPr>
        <w:pStyle w:val="ListNumber"/>
      </w:pPr>
      <w:r>
        <w:rPr>
          <w:rFonts w:ascii="Aptos" w:hAnsi="Aptos"/>
          <w:b w:val="0"/>
          <w:i w:val="0"/>
        </w:rPr>
        <w:t>Update the ledger through the governed PR when Phase 353 is actually started; do not modify it during this planning-only task.</w:t>
      </w:r>
    </w:p>
    <w:p>
      <w:pPr>
        <w:pStyle w:val="ListNumber"/>
      </w:pPr>
      <w:r>
        <w:rPr>
          <w:rFonts w:ascii="Aptos" w:hAnsi="Aptos"/>
          <w:b w:val="0"/>
          <w:i w:val="0"/>
        </w:rPr>
        <w:t>Implement each phase with path-scoped commits and required compliance/architecture declarations.</w:t>
      </w:r>
    </w:p>
    <w:p>
      <w:pPr>
        <w:pStyle w:val="ListNumber"/>
      </w:pPr>
      <w:r>
        <w:rPr>
          <w:rFonts w:ascii="Aptos" w:hAnsi="Aptos"/>
          <w:b w:val="0"/>
          <w:i w:val="0"/>
        </w:rPr>
        <w:t>Link each phase to tests, artifacts, and acceptance rows.</w:t>
      </w:r>
    </w:p>
    <w:p>
      <w:pPr>
        <w:pStyle w:val="ListNumber"/>
      </w:pPr>
      <w:r>
        <w:rPr>
          <w:rFonts w:ascii="Aptos" w:hAnsi="Aptos"/>
          <w:b w:val="0"/>
          <w:i w:val="0"/>
        </w:rPr>
        <w:t>Use Phase 362 as the final local completion checkpoint.</w:t>
      </w:r>
    </w:p>
    <w:p>
      <w:pPr>
        <w:pStyle w:val="Heading1"/>
      </w:pPr>
      <w:r>
        <w:t>Cross References</w:t>
      </w:r>
    </w:p>
    <w:p>
      <w:pPr>
        <w:pStyle w:val="ListBullet"/>
      </w:pPr>
      <w:r>
        <w:rPr>
          <w:rFonts w:ascii="Aptos" w:hAnsi="Aptos"/>
          <w:b w:val="0"/>
          <w:i w:val="0"/>
        </w:rPr>
        <w:t>docs/features/IMPLEMENTATION_PHASE_LEDGER.md.</w:t>
      </w:r>
    </w:p>
    <w:p>
      <w:pPr>
        <w:pStyle w:val="ListBullet"/>
      </w:pPr>
      <w:r>
        <w:rPr>
          <w:rFonts w:ascii="Aptos" w:hAnsi="Aptos"/>
          <w:b w:val="0"/>
          <w:i w:val="0"/>
        </w:rPr>
        <w:t>docs/architecture/ARCHITECTURE_GOVERNANCE.md.</w:t>
      </w:r>
    </w:p>
    <w:p>
      <w:pPr>
        <w:pStyle w:val="ListBullet"/>
      </w:pPr>
      <w:r>
        <w:rPr>
          <w:rFonts w:ascii="Aptos" w:hAnsi="Aptos"/>
          <w:b w:val="0"/>
          <w:i w:val="0"/>
        </w:rPr>
        <w:t>docs/compliance/rmo-24-2023-gap-closure-plan.md (reference only; correct its stale ADR/path references during implementation).</w:t>
      </w:r>
    </w:p>
    <w:p>
      <w:pPr>
        <w:pStyle w:val="ListBullet"/>
      </w:pPr>
      <w:r>
        <w:rPr>
          <w:rFonts w:ascii="Aptos" w:hAnsi="Aptos"/>
          <w:b w:val="0"/>
          <w:i w:val="0"/>
        </w:rPr>
        <w:t>docs/compliance/compliance-ops-regulatory-verification.md.</w:t>
      </w:r>
    </w:p>
    <w:sectPr w:rsidR="00FC693F" w:rsidRPr="0006063C" w:rsidSect="00034616">
      <w:footerReference w:type="default" r:id="rId9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Aptos" w:hAnsi="Aptos"/>
        <w:b w:val="0"/>
        <w:i w:val="0"/>
        <w:color w:val="666666"/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