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Traceability and Evidence Pack</w:t>
      </w:r>
    </w:p>
    <w:p>
      <w:pPr>
        <w:spacing w:after="200"/>
      </w:pPr>
      <w:r>
        <w:rPr>
          <w:rFonts w:ascii="Aptos" w:hAnsi="Aptos"/>
          <w:b w:val="0"/>
          <w:i w:val="0"/>
          <w:color w:val="385A7A"/>
          <w:sz w:val="20"/>
        </w:rPr>
        <w:t>POS BIR Annex B Items 4 to 14 Readiness | Plan version 1.0 | Section 10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Project name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POS BIR Annex B Items 4 to 14 Readiness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 version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1.0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Repository baseline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C:\xampp\htdocs\POS-DGFY | branch feat/DGFY-343-2067-pos-workflow-consolidation | HEAD 786cd4e8329db1a65398ce6aa7eb020ffc8f3b28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Planning mode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Planning only. This artifact does not implement code, migrations, configuration, or release actions.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</w:rPr>
        <w:t>Provide the final item-to-requirement-to-phase-to-test-to-evidence map and define exactly what must be submitted or reviewed before internal 100 percent readiness.</w:t>
      </w:r>
    </w:p>
    <w:p>
      <w:pPr>
        <w:pStyle w:val="Heading1"/>
      </w:pPr>
      <w:r>
        <w:t>Dependencies</w:t>
      </w:r>
    </w:p>
    <w:p>
      <w:pPr>
        <w:pStyle w:val="ListBullet"/>
      </w:pPr>
      <w:r>
        <w:rPr>
          <w:rFonts w:ascii="Aptos" w:hAnsi="Aptos"/>
          <w:b w:val="0"/>
          <w:i w:val="0"/>
        </w:rPr>
        <w:t>Sections 00-09.</w:t>
      </w:r>
    </w:p>
    <w:p>
      <w:pPr>
        <w:pStyle w:val="ListBullet"/>
      </w:pPr>
      <w:r>
        <w:rPr>
          <w:rFonts w:ascii="Aptos" w:hAnsi="Aptos"/>
          <w:b w:val="0"/>
          <w:i w:val="0"/>
        </w:rPr>
        <w:t>Final local evidence generated from the exact implementation commit.</w:t>
      </w:r>
    </w:p>
    <w:p>
      <w:pPr>
        <w:pStyle w:val="ListBullet"/>
      </w:pPr>
      <w:r>
        <w:rPr>
          <w:rFonts w:ascii="Aptos" w:hAnsi="Aptos"/>
          <w:b w:val="0"/>
          <w:i w:val="0"/>
        </w:rPr>
        <w:t>External review status fields.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</w:rPr>
        <w:t>The supplied checklist has eleven requested rows, Items 4 through 14 inclusive.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evidence pack must include both runtime proof and documentary artifacts; neither alone is sufficient.</w:t>
      </w:r>
    </w:p>
    <w:p>
      <w:pPr>
        <w:pStyle w:val="ListBullet"/>
      </w:pPr>
      <w:r>
        <w:rPr>
          <w:rFonts w:ascii="Aptos" w:hAnsi="Aptos"/>
          <w:b w:val="0"/>
          <w:i w:val="0"/>
        </w:rPr>
        <w:t>Existing final-review records can hold reviewed document references and sign-off metadata, but item-level Annex B mapping must be added or represented in an auditable manifest.</w:t>
      </w:r>
    </w:p>
    <w:p>
      <w:pPr>
        <w:pStyle w:val="ListBullet"/>
      </w:pPr>
      <w:r>
        <w:rPr>
          <w:rFonts w:ascii="Aptos" w:hAnsi="Aptos"/>
          <w:b w:val="0"/>
          <w:i w:val="0"/>
        </w:rPr>
        <w:t>External BIR/TWG validation is outside code-only completion and must be visible as a separate status.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</w:rPr>
        <w:t>The final evidence directory and file names may be adjusted during implementation, but the manifest schema and item IDs remain stable.</w:t>
      </w:r>
    </w:p>
    <w:p>
      <w:pPr>
        <w:pStyle w:val="ListBullet"/>
      </w:pPr>
      <w:r>
        <w:rPr>
          <w:rFonts w:ascii="Aptos" w:hAnsi="Aptos"/>
          <w:b w:val="0"/>
          <w:i w:val="0"/>
        </w:rPr>
        <w:t>A final pack may contain redacted samples for internal circulation and a controlled unredacted submission copy where authorized.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user wants local implementation and verification only; no staging evidence is required.</w:t>
      </w:r>
    </w:p>
    <w:p>
      <w:pPr>
        <w:pStyle w:val="Heading1"/>
      </w:pPr>
      <w:r>
        <w:t>Requirements Covered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2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REP-401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Create a complete report/evidence inventory.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DATA-406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Manifest every artifact with source, version, checksum, scope, and freshness.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OPS-401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Record owner, reviewer, status, external gate, and expiry/refresh cadence.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AC-500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Compute internal 100 percent only from passing rows, not from an approximate percentage.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AC-501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Keep external acceptance separate from internal completeness.</w:t>
            </w:r>
          </w:p>
        </w:tc>
      </w:tr>
    </w:tbl>
    <w:p>
      <w:pPr>
        <w:spacing w:after="40"/>
      </w:pPr>
    </w:p>
    <w:p>
      <w:pPr>
        <w:pStyle w:val="Heading1"/>
      </w:pPr>
      <w:r>
        <w:t>Plan Content</w:t>
      </w:r>
    </w:p>
    <w:p>
      <w:pPr>
        <w:pStyle w:val="Heading2"/>
      </w:pPr>
      <w:r>
        <w:t>Traceability matrix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64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87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Requirement IDs</w:t>
            </w:r>
          </w:p>
        </w:tc>
        <w:tc>
          <w:tcPr>
            <w:tcW w:type="dxa" w:w="93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Phase</w:t>
            </w:r>
          </w:p>
        </w:tc>
        <w:tc>
          <w:tcPr>
            <w:tcW w:type="dxa" w:w="158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Tests</w:t>
            </w:r>
          </w:p>
        </w:tc>
        <w:tc>
          <w:tcPr>
            <w:tcW w:type="dxa" w:w="32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Evidence artifact</w:t>
            </w:r>
          </w:p>
        </w:tc>
        <w:tc>
          <w:tcPr>
            <w:tcW w:type="dxa" w:w="237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Final status gate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4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FR-401, BR-402, DATA-401, UI-401</w:t>
            </w:r>
          </w:p>
        </w:tc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354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TEST-440/441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receipt-sample-pack + fixture-manifest + hashes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All applicable scenarios pass; legal review pending/accepted.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5</w:t>
            </w:r>
          </w:p>
        </w:tc>
        <w:tc>
          <w:tcPr>
            <w:tcW w:type="dxa" w:w="18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FR-402, BR-402, DATA-402</w:t>
            </w:r>
          </w:p>
        </w:tc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355</w:t>
            </w:r>
          </w:p>
        </w:tc>
        <w:tc>
          <w:tcPr>
            <w:tcW w:type="dxa" w:w="158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TEST-442/444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adjustment-sample-pack + original-link report</w:t>
            </w:r>
          </w:p>
        </w:tc>
        <w:tc>
          <w:tcPr>
            <w:tcW w:type="dxa" w:w="237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Void/refund/return/cancel applicability decided and samples pass.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6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FR-403, REP-402, DATA-403</w:t>
            </w:r>
          </w:p>
        </w:tc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356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TEST-443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x-reading and z-reading printouts + reconciliation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Counts/totals/identifiers/hash links reconcile.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7</w:t>
            </w:r>
          </w:p>
        </w:tc>
        <w:tc>
          <w:tcPr>
            <w:tcW w:type="dxa" w:w="18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FR-404, REP-401, DATA-404</w:t>
            </w:r>
          </w:p>
        </w:tc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357</w:t>
            </w:r>
          </w:p>
        </w:tc>
        <w:tc>
          <w:tcPr>
            <w:tcW w:type="dxa" w:w="158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TEST-450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report-catalog + report-samples + manifest</w:t>
            </w:r>
          </w:p>
        </w:tc>
        <w:tc>
          <w:tcPr>
            <w:tcW w:type="dxa" w:w="237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Catalog matches actual generated capabilities.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8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FR-405, REP-402, DATA-404, SEC-404</w:t>
            </w:r>
          </w:p>
        </w:tc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358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TEST-451-455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ejournal .txt + hard-copy projection + manifest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Complete one-to-one record mapping and grammar review.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9</w:t>
            </w:r>
          </w:p>
        </w:tc>
        <w:tc>
          <w:tcPr>
            <w:tcW w:type="dxa" w:w="18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FR-406, OPS-401</w:t>
            </w:r>
          </w:p>
        </w:tc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359</w:t>
            </w:r>
          </w:p>
        </w:tc>
        <w:tc>
          <w:tcPr>
            <w:tcW w:type="dxa" w:w="158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TEST-460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system-description + flow diagram</w:t>
            </w:r>
          </w:p>
        </w:tc>
        <w:tc>
          <w:tcPr>
            <w:tcW w:type="dxa" w:w="237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Current paths/contracts and review metadata.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10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FR-407, UI-404, DATA-406</w:t>
            </w:r>
          </w:p>
        </w:tc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359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TEST-461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login/home/splash screenshots + version register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Every applicable surface matches exact build.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11</w:t>
            </w:r>
          </w:p>
        </w:tc>
        <w:tc>
          <w:tcPr>
            <w:tcW w:type="dxa" w:w="18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FR-408, BR-403, UI-405</w:t>
            </w:r>
          </w:p>
        </w:tc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359</w:t>
            </w:r>
          </w:p>
        </w:tc>
        <w:tc>
          <w:tcPr>
            <w:tcW w:type="dxa" w:w="158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TEST-462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online/offline screenshots + behavior log</w:t>
            </w:r>
          </w:p>
        </w:tc>
        <w:tc>
          <w:tcPr>
            <w:tcW w:type="dxa" w:w="237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Indicator semantics and restrictions pass.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12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FR-406, OPS-401</w:t>
            </w:r>
          </w:p>
        </w:tc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360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TEST-463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operating-manual + device applicability matrix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Manual is executable and applicability reviewed.</w:t>
            </w:r>
          </w:p>
        </w:tc>
      </w:tr>
      <w:tr>
        <w:tc>
          <w:tcPr>
            <w:tcW w:type="dxa" w:w="64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13</w:t>
            </w:r>
          </w:p>
        </w:tc>
        <w:tc>
          <w:tcPr>
            <w:tcW w:type="dxa" w:w="187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FR-409, AUD-401, SEC-401</w:t>
            </w:r>
          </w:p>
        </w:tc>
        <w:tc>
          <w:tcPr>
            <w:tcW w:type="dxa" w:w="9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360/361</w:t>
            </w:r>
          </w:p>
        </w:tc>
        <w:tc>
          <w:tcPr>
            <w:tcW w:type="dxa" w:w="158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TEST-471/474</w:t>
            </w:r>
          </w:p>
        </w:tc>
        <w:tc>
          <w:tcPr>
            <w:tcW w:type="dxa" w:w="32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filtered audit print/export + field coverage</w:t>
            </w:r>
          </w:p>
        </w:tc>
        <w:tc>
          <w:tcPr>
            <w:tcW w:type="dxa" w:w="237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Date/time, user, activity, values, scope, and redaction pass.</w:t>
            </w:r>
          </w:p>
        </w:tc>
      </w:tr>
      <w:tr>
        <w:tc>
          <w:tcPr>
            <w:tcW w:type="dxa" w:w="64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14</w:t>
            </w:r>
          </w:p>
        </w:tc>
        <w:tc>
          <w:tcPr>
            <w:tcW w:type="dxa" w:w="187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FR-410, OPS-401, DATA-407</w:t>
            </w:r>
          </w:p>
        </w:tc>
        <w:tc>
          <w:tcPr>
            <w:tcW w:type="dxa" w:w="9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360</w:t>
            </w:r>
          </w:p>
        </w:tc>
        <w:tc>
          <w:tcPr>
            <w:tcW w:type="dxa" w:w="158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TEST-464</w:t>
            </w:r>
          </w:p>
        </w:tc>
        <w:tc>
          <w:tcPr>
            <w:tcW w:type="dxa" w:w="32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DRP + restore drill + encryption report</w:t>
            </w:r>
          </w:p>
        </w:tc>
        <w:tc>
          <w:tcPr>
            <w:tcW w:type="dxa" w:w="237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RPO/RTO, restore proof, encryption, owner, and sign-off pass.</w:t>
            </w:r>
          </w:p>
        </w:tc>
      </w:tr>
    </w:tbl>
    <w:p>
      <w:pPr>
        <w:spacing w:after="40"/>
      </w:pPr>
    </w:p>
    <w:p>
      <w:pPr>
        <w:pStyle w:val="Heading2"/>
      </w:pPr>
      <w:r>
        <w:t>Evidence manifest minimum schema</w:t>
      </w:r>
    </w:p>
    <w:p>
      <w:pPr>
        <w:pStyle w:val="ListBullet"/>
      </w:pPr>
      <w:r>
        <w:rPr>
          <w:rFonts w:ascii="Aptos" w:hAnsi="Aptos"/>
          <w:b w:val="0"/>
          <w:i w:val="0"/>
        </w:rPr>
        <w:t>annex_item: integer 4 through 14.</w:t>
      </w:r>
    </w:p>
    <w:p>
      <w:pPr>
        <w:pStyle w:val="ListBullet"/>
      </w:pPr>
      <w:r>
        <w:rPr>
          <w:rFonts w:ascii="Aptos" w:hAnsi="Aptos"/>
          <w:b w:val="0"/>
          <w:i w:val="0"/>
        </w:rPr>
        <w:t>requirement_ids: array of FR/BR/DATA/SEC/PERM/UI/REP/AUD/MIG/OPS/NFR IDs.</w:t>
      </w:r>
    </w:p>
    <w:p>
      <w:pPr>
        <w:pStyle w:val="ListBullet"/>
      </w:pPr>
      <w:r>
        <w:rPr>
          <w:rFonts w:ascii="Aptos" w:hAnsi="Aptos"/>
          <w:b w:val="0"/>
          <w:i w:val="0"/>
        </w:rPr>
        <w:t>artifact_type, artifact_path, file_size_bytes, sha256, mime_type, source_commit, generator_version, policy_or_grammar_version.</w:t>
      </w:r>
    </w:p>
    <w:p>
      <w:pPr>
        <w:pStyle w:val="ListBullet"/>
      </w:pPr>
      <w:r>
        <w:rPr>
          <w:rFonts w:ascii="Aptos" w:hAnsi="Aptos"/>
          <w:b w:val="0"/>
          <w:i w:val="0"/>
        </w:rPr>
        <w:t>tenant_id or controlled local scope, location_id, terminal_id, business_date/date_from/date_to, timezone.</w:t>
      </w:r>
    </w:p>
    <w:p>
      <w:pPr>
        <w:pStyle w:val="ListBullet"/>
      </w:pPr>
      <w:r>
        <w:rPr>
          <w:rFonts w:ascii="Aptos" w:hAnsi="Aptos"/>
          <w:b w:val="0"/>
          <w:i w:val="0"/>
        </w:rPr>
        <w:t>source_record_counts, source_hashes, reconciliation status, generated_at, freshness_expires_at.</w:t>
      </w:r>
    </w:p>
    <w:p>
      <w:pPr>
        <w:pStyle w:val="ListBullet"/>
      </w:pPr>
      <w:r>
        <w:rPr>
          <w:rFonts w:ascii="Aptos" w:hAnsi="Aptos"/>
          <w:b w:val="0"/>
          <w:i w:val="0"/>
        </w:rPr>
        <w:t>owner, reviewer, internal_status, external_status, review_note, review_at, and linked phase/test/acceptance IDs.</w:t>
      </w:r>
    </w:p>
    <w:p>
      <w:pPr>
        <w:pStyle w:val="Heading2"/>
      </w:pPr>
      <w:r>
        <w:t>Internal readiness score</w:t>
      </w:r>
    </w:p>
    <w:p>
      <w:r>
        <w:rPr>
          <w:rFonts w:ascii="Aptos" w:hAnsi="Aptos"/>
          <w:b w:val="0"/>
          <w:i w:val="0"/>
        </w:rPr>
        <w:t>Compute the score as a set of passing gates, not as a rounded percentage. An item is internally complete only when its applicable runtime tests, evidence artifact, integrity/reconciliation checks, permissions, freshness, and review metadata all pass. A row marked EXTERNAL_REVIEW_REQUIRED may count as internally complete only if the internal policy explicitly permits that status; it must still appear as pending in the final submission matrix.</w:t>
      </w:r>
    </w:p>
    <w:p>
      <w:r>
        <w:rPr>
          <w:rFonts w:ascii="Aptos" w:hAnsi="Aptos"/>
          <w:b w:val="0"/>
          <w:i w:val="0"/>
        </w:rPr>
        <w:t>The final dashboard/report must display complete, missing, blocked, N/A-with-rationale, and external-review-required counts separately. It must never show 100 percent while any required item is missing or blocked.</w:t>
      </w:r>
    </w:p>
    <w:p>
      <w:pPr>
        <w:pStyle w:val="Heading2"/>
      </w:pPr>
      <w:r>
        <w:t>Final evidence pack order</w:t>
      </w:r>
    </w:p>
    <w:p>
      <w:pPr>
        <w:pStyle w:val="ListNumber"/>
      </w:pPr>
      <w:r>
        <w:rPr>
          <w:rFonts w:ascii="Aptos" w:hAnsi="Aptos"/>
          <w:b w:val="0"/>
          <w:i w:val="0"/>
        </w:rPr>
        <w:t>Cover/index and source register.</w:t>
      </w:r>
    </w:p>
    <w:p>
      <w:pPr>
        <w:pStyle w:val="ListNumber"/>
      </w:pPr>
      <w:r>
        <w:rPr>
          <w:rFonts w:ascii="Aptos" w:hAnsi="Aptos"/>
          <w:b w:val="0"/>
          <w:i w:val="0"/>
        </w:rPr>
        <w:t>Annex B Items 4-14 control matrix with statuses and owners.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 4 receipt/invoice scenario samples.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 5 adjustment documents and original-document linkage report.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 6 X/Z reading samples and reconciliation.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 7 report catalog and samples.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 8 raw .txt e-journal, hard-copy projection, and manifest.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 9 system narrative and flow diagram.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Items 10-11 version/connectivity screenshots and test logs.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 12 operating manual and hardware applicability matrix.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 13 audit trail print/export and field coverage.</w:t>
      </w:r>
    </w:p>
    <w:p>
      <w:pPr>
        <w:pStyle w:val="ListNumber"/>
      </w:pPr>
      <w:r>
        <w:rPr>
          <w:rFonts w:ascii="Aptos" w:hAnsi="Aptos"/>
          <w:b w:val="0"/>
          <w:i w:val="0"/>
        </w:rPr>
        <w:t>Item 14 DRP, encryption proof, restore drill, and remediation.</w:t>
      </w:r>
    </w:p>
    <w:p>
      <w:pPr>
        <w:pStyle w:val="ListNumber"/>
      </w:pPr>
      <w:r>
        <w:rPr>
          <w:rFonts w:ascii="Aptos" w:hAnsi="Aptos"/>
          <w:b w:val="0"/>
          <w:i w:val="0"/>
        </w:rPr>
        <w:t>Automated test summary, security/migration results, source/build manifest, reviewer sign-offs, and external gate register.</w:t>
      </w:r>
    </w:p>
    <w:p>
      <w:pPr>
        <w:pStyle w:val="Heading2"/>
      </w:pPr>
      <w:r>
        <w:t>External gate register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38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External gate</w:t>
            </w:r>
          </w:p>
        </w:tc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Owner</w:t>
            </w:r>
          </w:p>
        </w:tc>
        <w:tc>
          <w:tcPr>
            <w:tcW w:type="dxa" w:w="22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Required before internal pack freeze?</w:t>
            </w:r>
          </w:p>
        </w:tc>
        <w:tc>
          <w:tcPr>
            <w:tcW w:type="dxa" w:w="309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Status handling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Current BIR/tax wording and e-journal grammar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Tax/compliance owner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Yes for final sample/serializer freeze.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Blocked until source locked.</w:t>
            </w:r>
          </w:p>
        </w:tc>
      </w:tr>
      <w:tr>
        <w:tc>
          <w:tcPr>
            <w:tcW w:type="dxa" w:w="338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Return/adjustment fiscal interpretation</w:t>
            </w:r>
          </w:p>
        </w:tc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Tax practitioner/compliance</w:t>
            </w:r>
          </w:p>
        </w:tc>
        <w:tc>
          <w:tcPr>
            <w:tcW w:type="dxa" w:w="22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Yes for Item 5 final status.</w:t>
            </w:r>
          </w:p>
        </w:tc>
        <w:tc>
          <w:tcPr>
            <w:tcW w:type="dxa" w:w="309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External-review-required or blocked.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Provider/accreditation/PTU/ATG responsibility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Business/compliance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No for local runtime tests; yes for filing.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External pending.</w:t>
            </w:r>
          </w:p>
        </w:tc>
      </w:tr>
      <w:tr>
        <w:tc>
          <w:tcPr>
            <w:tcW w:type="dxa" w:w="338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BIR/TWG documentary acceptance</w:t>
            </w:r>
          </w:p>
        </w:tc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Applicant/representative</w:t>
            </w:r>
          </w:p>
        </w:tc>
        <w:tc>
          <w:tcPr>
            <w:tcW w:type="dxa" w:w="22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No for local build; yes for accreditation claim.</w:t>
            </w:r>
          </w:p>
        </w:tc>
        <w:tc>
          <w:tcPr>
            <w:tcW w:type="dxa" w:w="309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External pending until written acceptance.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Official eSales acknowledgement</w:t>
            </w:r>
          </w:p>
        </w:tc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Filing owner</w:t>
            </w:r>
          </w:p>
        </w:tc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No for internal generator; yes for submission claim.</w:t>
            </w:r>
          </w:p>
        </w:tc>
        <w:tc>
          <w:tcPr>
            <w:tcW w:type="dxa" w:w="309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External pending/accepted.</w:t>
            </w:r>
          </w:p>
        </w:tc>
      </w:tr>
    </w:tbl>
    <w:p>
      <w:pPr>
        <w:spacing w:after="40"/>
      </w:pPr>
    </w:p>
    <w:p>
      <w:pPr>
        <w:pStyle w:val="Heading1"/>
      </w:pPr>
      <w:r>
        <w:t>Affected System Components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Classification</w:t>
            </w:r>
          </w:p>
        </w:tc>
        <w:tc>
          <w:tcPr>
            <w:tcW w:type="dxa" w:w="87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Components and expected treatment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Manifest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Generated local evidence manifest and checksum verifier.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Compliance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Final-review documents/signoff, readiness checklist, artifact status and freshness.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Runtime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POS fiscal/adjustment/reading/report/audit sources.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Submission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DOCX/PDF/TXT samples, screenshots, manual, DRP, test reports, external gate register.</w:t>
            </w:r>
          </w:p>
        </w:tc>
      </w:tr>
    </w:tbl>
    <w:p>
      <w:pPr>
        <w:spacing w:after="40"/>
      </w:pPr>
    </w:p>
    <w:p>
      <w:pPr>
        <w:pStyle w:val="Heading1"/>
      </w:pPr>
      <w:r>
        <w:t>Risks and Mitigations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57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R-100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file is present but does not correspond to the source commit.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Bind every artifact to source commit/build and verify hashes.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R-101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 reviewer sees a green score but hidden external blockers.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Separate internal and external statuses on every row.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R-102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Evidence becomes stale after code or tax source changes.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Invalidate by source/policy/grammar version and freshness date.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R-103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Redacted evidence is mistaken for the submission copy.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Label internal redacted and controlled submission artifacts distinctly.</w:t>
            </w:r>
          </w:p>
        </w:tc>
      </w:tr>
    </w:tbl>
    <w:p>
      <w:pPr>
        <w:spacing w:after="40"/>
      </w:pPr>
    </w:p>
    <w:p>
      <w:pPr>
        <w:pStyle w:val="Heading1"/>
      </w:pPr>
      <w:r>
        <w:t>Tests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 ID</w:t>
            </w:r>
          </w:p>
        </w:tc>
        <w:tc>
          <w:tcPr>
            <w:tcW w:type="dxa" w:w="172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70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Scenario and evidence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TEST-500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Manifest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Every file opens, hash matches, source/build/policy metadata is present, and every item has at least one evidence record.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TEST-501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Score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Inject missing/blocked/stale/external statuses and verify score never reports false 100 percent.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TEST-502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Freshness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Change source commit or grammar version and verify affected artifacts become stale.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TEST-503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Submission review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Reviewer can navigate the pack in Annex B order without relying on hidden application state.</w:t>
            </w:r>
          </w:p>
        </w:tc>
      </w:tr>
    </w:tbl>
    <w:p>
      <w:pPr>
        <w:spacing w:after="40"/>
      </w:pPr>
    </w:p>
    <w:p>
      <w:pPr>
        <w:pStyle w:val="Heading1"/>
      </w:pPr>
      <w:r>
        <w:t>Acceptance Criteria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4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Measurable acceptance criterion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AC-500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final matrix includes Items 4 through 14 exactly once, with traceable requirements, phases, tests, and artifacts.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AC-501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checksum manifest verifies every final artifact and binds it to the implementation source/build.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AC-502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readiness score cannot display 100 percent while a required row is missing, blocked, stale, or unresolved.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AC-503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The final pack makes external BIR/TWG/legal/provider decisions visible and separate from internal engineering completion.</w:t>
            </w:r>
          </w:p>
        </w:tc>
      </w:tr>
    </w:tbl>
    <w:p>
      <w:pPr>
        <w:spacing w:after="40"/>
      </w:pPr>
    </w:p>
    <w:p>
      <w:pPr>
        <w:pStyle w:val="Heading1"/>
      </w:pPr>
      <w:r>
        <w:t>Execution Dependencies</w:t>
      </w:r>
    </w:p>
    <w:p>
      <w:pPr>
        <w:pStyle w:val="ListNumber"/>
      </w:pPr>
      <w:r>
        <w:rPr>
          <w:rFonts w:ascii="Aptos" w:hAnsi="Aptos"/>
          <w:b w:val="0"/>
          <w:i w:val="0"/>
        </w:rPr>
        <w:t>Create the machine-readable manifest contract during Phase 353.</w:t>
      </w:r>
    </w:p>
    <w:p>
      <w:pPr>
        <w:pStyle w:val="ListNumber"/>
      </w:pPr>
      <w:r>
        <w:rPr>
          <w:rFonts w:ascii="Aptos" w:hAnsi="Aptos"/>
          <w:b w:val="0"/>
          <w:i w:val="0"/>
        </w:rPr>
        <w:t>Generate and validate artifacts as each phase completes.</w:t>
      </w:r>
    </w:p>
    <w:p>
      <w:pPr>
        <w:pStyle w:val="ListNumber"/>
      </w:pPr>
      <w:r>
        <w:rPr>
          <w:rFonts w:ascii="Aptos" w:hAnsi="Aptos"/>
          <w:b w:val="0"/>
          <w:i w:val="0"/>
        </w:rPr>
        <w:t>Freeze the pack only after Phase 362 local release and restore/rollback rehearsal.</w:t>
      </w:r>
    </w:p>
    <w:p>
      <w:pPr>
        <w:pStyle w:val="ListNumber"/>
      </w:pPr>
      <w:r>
        <w:rPr>
          <w:rFonts w:ascii="Aptos" w:hAnsi="Aptos"/>
          <w:b w:val="0"/>
          <w:i w:val="0"/>
        </w:rPr>
        <w:t>Record internal sign-off and external status separately.</w:t>
      </w:r>
    </w:p>
    <w:p>
      <w:pPr>
        <w:pStyle w:val="ListNumber"/>
      </w:pPr>
      <w:r>
        <w:rPr>
          <w:rFonts w:ascii="Aptos" w:hAnsi="Aptos"/>
          <w:b w:val="0"/>
          <w:i w:val="0"/>
        </w:rPr>
        <w:t>Submit to BIR/TWG only through the authorized business/compliance workflow.</w:t>
      </w:r>
    </w:p>
    <w:p>
      <w:pPr>
        <w:pStyle w:val="Heading1"/>
      </w:pPr>
      <w:r>
        <w:t>Cross References</w:t>
      </w:r>
    </w:p>
    <w:p>
      <w:pPr>
        <w:pStyle w:val="ListBullet"/>
      </w:pPr>
      <w:r>
        <w:rPr>
          <w:rFonts w:ascii="Aptos" w:hAnsi="Aptos"/>
          <w:b w:val="0"/>
          <w:i w:val="0"/>
        </w:rPr>
        <w:t>Supplied RMO Annex B PDF.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docs/compliance/rmo-24-2023-control-matrix.md; docs/compliance/submission/filing-instructions.md.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docs/compliance/evidence/open-controls-matrix.md; docs/compliance/evidence/residual-risk-closure-matrix.md.</w:t>
      </w:r>
    </w:p>
    <w:p>
      <w:pPr>
        <w:pStyle w:val="ListBullet"/>
      </w:pPr>
      <w:r>
        <w:rPr>
          <w:rFonts w:ascii="Aptos" w:hAnsi="Aptos"/>
          <w:b w:val="0"/>
          <w:i w:val="0"/>
        </w:rPr>
        <w:t>Sections 02, 08, and 09 of this plan.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b w:val="0"/>
        <w:i w:val="0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