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EXEC-004 — Approval Materialization</w:t>
      </w:r>
    </w:p>
    <w:p>
      <w:pPr>
        <w:jc w:val="left"/>
      </w:pPr>
      <w:r>
        <w:rPr>
          <w:i/>
          <w:color w:val="506473"/>
        </w:rPr>
        <w:t>Business Registration and Store Setup · 2026-10-01 · branch StagingPOS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IMPLEMENTED AND UNIT-VERIFIED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commit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9065425cc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Worktree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C:\xampp\htdocs\POS-DGFY\.worktrees\StagingPOS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Ownership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Landlord pre-approval; IMS platform review; OPIS/POS approved tenant administration; Storefront public registration</w:t>
            </w:r>
          </w:p>
        </w:tc>
      </w:tr>
    </w:tbl>
    <w:p/>
    <w:p>
      <w:pPr>
        <w:pStyle w:val="Heading2"/>
      </w:pPr>
      <w:r>
        <w:t>Purpose</w:t>
      </w:r>
    </w:p>
    <w:p>
      <w:r>
        <w:t>Materialize approved registration data into canonical tenant settings and primary location data only after approval, with transaction and retry safety, while keeping menu publication explicit.</w:t>
      </w:r>
    </w:p>
    <w:p>
      <w:pPr>
        <w:pStyle w:val="Heading2"/>
      </w:pPr>
      <w:r>
        <w:t>Materialization contract</w:t>
      </w:r>
    </w:p>
    <w:p>
      <w:pPr>
        <w:pStyle w:val="ListBullet"/>
      </w:pPr>
      <w:r>
        <w:t>approveTenantUseCase invokes materializeApprovedCompanyRegistration after tenant provisioning and before founder handover completes.</w:t>
      </w:r>
    </w:p>
    <w:p>
      <w:pPr>
        <w:pStyle w:val="ListBullet"/>
      </w:pPr>
      <w:r>
        <w:t>Canonical tenant settings include business name, Storefront about/contact/social links, delivery partners, hours, source snapshot, and materialization marker.</w:t>
      </w:r>
    </w:p>
    <w:p>
      <w:pPr>
        <w:pStyle w:val="ListBullet"/>
      </w:pPr>
      <w:r>
        <w:t>A primary TenantLocation is updated or created only when address and valid coordinates are present; incomplete location remains visible as readiness work.</w:t>
      </w:r>
    </w:p>
    <w:p>
      <w:pPr>
        <w:pStyle w:val="ListBullet"/>
      </w:pPr>
      <w:r>
        <w:t>Repeated approval/materialization upserts existing setting keys and the primary location rather than creating duplicates.</w:t>
      </w:r>
    </w:p>
    <w:p>
      <w:pPr>
        <w:pStyle w:val="ListBullet"/>
      </w:pPr>
      <w:r>
        <w:t>The materialization result explicitly reports menu_catalog_published: false; staged menu data requires later review/confirmation.</w:t>
      </w:r>
    </w:p>
    <w:p>
      <w:pPr>
        <w:pStyle w:val="Heading2"/>
      </w:pPr>
      <w:r>
        <w:t>Failure and retry boundary</w:t>
      </w:r>
    </w:p>
    <w:p>
      <w:pPr>
        <w:pStyle w:val="ListBullet"/>
      </w:pPr>
      <w:r>
        <w:t>Tenant provisioning retry/idempotency suites remain green.</w:t>
      </w:r>
    </w:p>
    <w:p>
      <w:pPr>
        <w:pStyle w:val="ListBullet"/>
      </w:pPr>
      <w:r>
        <w:t>Materialization is transaction-scoped against the tenant connection.</w:t>
      </w:r>
    </w:p>
    <w:p>
      <w:pPr>
        <w:pStyle w:val="ListBullet"/>
      </w:pPr>
      <w:r>
        <w:t>Partial location readiness does not cause an implicit catalog publication or duplicate location creation.</w:t>
      </w:r>
    </w:p>
    <w:p>
      <w:pPr>
        <w:pStyle w:val="ListBullet"/>
      </w:pPr>
      <w:r>
        <w:t>The canonical Storefront hours key is used instead of introducing a parallel settings key.</w:t>
      </w:r>
    </w:p>
    <w:p>
      <w:pPr>
        <w:pStyle w:val="Heading2"/>
      </w:pPr>
      <w:r>
        <w:t>Verification</w:t>
      </w:r>
    </w:p>
    <w:p>
      <w:pPr>
        <w:pStyle w:val="ListBullet"/>
      </w:pPr>
      <w:r>
        <w:t>materializeApprovedCompanyRegistration.test.js passed.</w:t>
      </w:r>
    </w:p>
    <w:p>
      <w:pPr>
        <w:pStyle w:val="ListBullet"/>
      </w:pPr>
      <w:r>
        <w:t>tenantProvisioning, retryIdempotency, storefrontBootstrap, and reconciliation scheduler suites passed.</w:t>
      </w:r>
    </w:p>
    <w:p>
      <w:pPr>
        <w:pStyle w:val="ListBullet"/>
      </w:pPr>
      <w:r>
        <w:t>No tenant migration was required; tenant-schema coverage passed.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BRS execution evidence · EXEC-004_Approval_Materialization.docx · No PR, merge, deployment, or phase completion claimed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EXEC-004 — Approval Materialization</dc:title>
  <dc:subject>BRS execution evidence</dc:subject>
  <dc:creator>Codex</dc:creator>
  <cp:keywords/>
  <dc:description>Generated as an execution record; original plan DOCX files are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