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i w:val="0"/>
          <w:color w:val="0F2D4E"/>
          <w:sz w:val="44"/>
        </w:rPr>
        <w:t>POS Delivery Provider Payment Breakdown</w:t>
      </w:r>
    </w:p>
    <w:p>
      <w:pPr>
        <w:spacing w:after="80"/>
      </w:pPr>
      <w:r>
        <w:rPr>
          <w:rFonts w:ascii="Aptos" w:hAnsi="Aptos"/>
          <w:b/>
          <w:i w:val="0"/>
          <w:color w:val="1A5B7E"/>
          <w:sz w:val="24"/>
        </w:rPr>
        <w:t>Section 00  |  Plan Index and Execution Guide</w:t>
      </w:r>
    </w:p>
    <w:p>
      <w:r>
        <w:rPr>
          <w:rFonts w:ascii="Aptos" w:hAnsi="Aptos"/>
          <w:b w:val="0"/>
          <w:i/>
          <w:color w:val="475569"/>
          <w:sz w:val="21"/>
        </w:rPr>
        <w:t>Entry point for the execution agent. Defines the repository-grounded objective, reading order, traceability, dependencies, and decision gates.</w:t>
      </w:r>
    </w:p>
    <w:tbl>
      <w:tblPr>
        <w:tblW w:type="auto" w:w="0"/>
        <w:jc w:val="left"/>
        <w:tblLayout w:type="autofit"/>
        <w:tblLook w:firstColumn="1" w:firstRow="1" w:lastColumn="0" w:lastRow="0" w:noHBand="0" w:noVBand="1" w:val="04A0"/>
      </w:tblPr>
      <w:tblGrid>
        <w:gridCol w:w="4997"/>
        <w:gridCol w:w="4997"/>
      </w:tblGrid>
      <w:tr>
        <w:tc>
          <w:tcPr>
            <w:tcW w:type="dxa" w:w="4997"/>
            <w:shd w:fill="EAF2F8"/>
            <w:tcMar>
              <w:top w:w="80" w:type="dxa"/>
              <w:start w:w="100" w:type="dxa"/>
              <w:bottom w:w="80" w:type="dxa"/>
              <w:end w:w="100" w:type="dxa"/>
            </w:tcMar>
            <w:tcBorders>
              <w:top w:val="single" w:sz="4" w:color="D7E3EC"/>
              <w:left w:val="single" w:sz="4" w:color="D7E3EC"/>
              <w:bottom w:val="single" w:sz="4" w:color="D7E3EC"/>
              <w:right w:val="single" w:sz="4" w:color="D7E3EC"/>
            </w:tcBorders>
            <w:vAlign w:val="top"/>
          </w:tcPr>
          <w:p>
            <w:r>
              <w:rPr>
                <w:rFonts w:ascii="Aptos" w:hAnsi="Aptos"/>
                <w:b/>
                <w:i w:val="0"/>
                <w:color w:val="0F172A"/>
                <w:sz w:val="19"/>
              </w:rPr>
              <w:t>Project Name</w:t>
            </w:r>
          </w:p>
        </w:tc>
        <w:tc>
          <w:tcPr>
            <w:tcW w:type="dxa" w:w="4997"/>
            <w:tcMar>
              <w:top w:w="80" w:type="dxa"/>
              <w:start w:w="100" w:type="dxa"/>
              <w:bottom w:w="80" w:type="dxa"/>
              <w:end w:w="100" w:type="dxa"/>
            </w:tcMar>
            <w:tcBorders>
              <w:top w:val="single" w:sz="4" w:color="D7E3EC"/>
              <w:left w:val="single" w:sz="4" w:color="D7E3EC"/>
              <w:bottom w:val="single" w:sz="4" w:color="D7E3EC"/>
              <w:right w:val="single" w:sz="4" w:color="D7E3EC"/>
            </w:tcBorders>
            <w:vAlign w:val="top"/>
          </w:tcPr>
          <w:p>
            <w:r>
              <w:rPr>
                <w:rFonts w:ascii="Aptos" w:hAnsi="Aptos"/>
                <w:b w:val="0"/>
                <w:i w:val="0"/>
                <w:color w:val="0F172A"/>
                <w:sz w:val="19"/>
              </w:rPr>
              <w:t>POS Delivery Provider Payment Breakdown</w:t>
            </w:r>
          </w:p>
        </w:tc>
      </w:tr>
      <w:tr>
        <w:tc>
          <w:tcPr>
            <w:tcW w:type="dxa" w:w="4997"/>
            <w:shd w:fill="EAF2F8"/>
            <w:tcMar>
              <w:top w:w="80" w:type="dxa"/>
              <w:start w:w="100" w:type="dxa"/>
              <w:bottom w:w="80" w:type="dxa"/>
              <w:end w:w="100" w:type="dxa"/>
            </w:tcMar>
            <w:tcBorders>
              <w:top w:val="single" w:sz="4" w:color="D7E3EC"/>
              <w:left w:val="single" w:sz="4" w:color="D7E3EC"/>
              <w:bottom w:val="single" w:sz="4" w:color="D7E3EC"/>
              <w:right w:val="single" w:sz="4" w:color="D7E3EC"/>
            </w:tcBorders>
            <w:vAlign w:val="top"/>
          </w:tcPr>
          <w:p>
            <w:r>
              <w:rPr>
                <w:rFonts w:ascii="Aptos" w:hAnsi="Aptos"/>
                <w:b/>
                <w:i w:val="0"/>
                <w:color w:val="0F172A"/>
                <w:sz w:val="19"/>
              </w:rPr>
              <w:t>Plan Version</w:t>
            </w:r>
          </w:p>
        </w:tc>
        <w:tc>
          <w:tcPr>
            <w:tcW w:type="dxa" w:w="4997"/>
            <w:tcMar>
              <w:top w:w="80" w:type="dxa"/>
              <w:start w:w="100" w:type="dxa"/>
              <w:bottom w:w="80" w:type="dxa"/>
              <w:end w:w="100" w:type="dxa"/>
            </w:tcMar>
            <w:tcBorders>
              <w:top w:val="single" w:sz="4" w:color="D7E3EC"/>
              <w:left w:val="single" w:sz="4" w:color="D7E3EC"/>
              <w:bottom w:val="single" w:sz="4" w:color="D7E3EC"/>
              <w:right w:val="single" w:sz="4" w:color="D7E3EC"/>
            </w:tcBorders>
            <w:vAlign w:val="top"/>
          </w:tcPr>
          <w:p>
            <w:r>
              <w:rPr>
                <w:rFonts w:ascii="Aptos" w:hAnsi="Aptos"/>
                <w:b w:val="0"/>
                <w:i w:val="0"/>
                <w:color w:val="0F172A"/>
                <w:sz w:val="19"/>
              </w:rPr>
              <w:t>v1.0</w:t>
            </w:r>
          </w:p>
        </w:tc>
      </w:tr>
      <w:tr>
        <w:tc>
          <w:tcPr>
            <w:tcW w:type="dxa" w:w="4997"/>
            <w:shd w:fill="EAF2F8"/>
            <w:tcMar>
              <w:top w:w="80" w:type="dxa"/>
              <w:start w:w="100" w:type="dxa"/>
              <w:bottom w:w="80" w:type="dxa"/>
              <w:end w:w="100" w:type="dxa"/>
            </w:tcMar>
            <w:tcBorders>
              <w:top w:val="single" w:sz="4" w:color="D7E3EC"/>
              <w:left w:val="single" w:sz="4" w:color="D7E3EC"/>
              <w:bottom w:val="single" w:sz="4" w:color="D7E3EC"/>
              <w:right w:val="single" w:sz="4" w:color="D7E3EC"/>
            </w:tcBorders>
            <w:vAlign w:val="top"/>
          </w:tcPr>
          <w:p>
            <w:r>
              <w:rPr>
                <w:rFonts w:ascii="Aptos" w:hAnsi="Aptos"/>
                <w:b/>
                <w:i w:val="0"/>
                <w:color w:val="0F172A"/>
                <w:sz w:val="19"/>
              </w:rPr>
              <w:t>Section Number / Title</w:t>
            </w:r>
          </w:p>
        </w:tc>
        <w:tc>
          <w:tcPr>
            <w:tcW w:type="dxa" w:w="4997"/>
            <w:tcMar>
              <w:top w:w="80" w:type="dxa"/>
              <w:start w:w="100" w:type="dxa"/>
              <w:bottom w:w="80" w:type="dxa"/>
              <w:end w:w="100" w:type="dxa"/>
            </w:tcMar>
            <w:tcBorders>
              <w:top w:val="single" w:sz="4" w:color="D7E3EC"/>
              <w:left w:val="single" w:sz="4" w:color="D7E3EC"/>
              <w:bottom w:val="single" w:sz="4" w:color="D7E3EC"/>
              <w:right w:val="single" w:sz="4" w:color="D7E3EC"/>
            </w:tcBorders>
            <w:vAlign w:val="top"/>
          </w:tcPr>
          <w:p>
            <w:r>
              <w:rPr>
                <w:rFonts w:ascii="Aptos" w:hAnsi="Aptos"/>
                <w:b w:val="0"/>
                <w:i w:val="0"/>
                <w:color w:val="0F172A"/>
                <w:sz w:val="19"/>
              </w:rPr>
              <w:t>00 / Plan Index and Execution Guide</w:t>
            </w:r>
          </w:p>
        </w:tc>
      </w:tr>
      <w:tr>
        <w:tc>
          <w:tcPr>
            <w:tcW w:type="dxa" w:w="4997"/>
            <w:shd w:fill="EAF2F8"/>
            <w:tcMar>
              <w:top w:w="80" w:type="dxa"/>
              <w:start w:w="100" w:type="dxa"/>
              <w:bottom w:w="80" w:type="dxa"/>
              <w:end w:w="100" w:type="dxa"/>
            </w:tcMar>
            <w:tcBorders>
              <w:top w:val="single" w:sz="4" w:color="D7E3EC"/>
              <w:left w:val="single" w:sz="4" w:color="D7E3EC"/>
              <w:bottom w:val="single" w:sz="4" w:color="D7E3EC"/>
              <w:right w:val="single" w:sz="4" w:color="D7E3EC"/>
            </w:tcBorders>
            <w:vAlign w:val="top"/>
          </w:tcPr>
          <w:p>
            <w:r>
              <w:rPr>
                <w:rFonts w:ascii="Aptos" w:hAnsi="Aptos"/>
                <w:b/>
                <w:i w:val="0"/>
                <w:color w:val="0F172A"/>
                <w:sz w:val="19"/>
              </w:rPr>
              <w:t>Baseline</w:t>
            </w:r>
          </w:p>
        </w:tc>
        <w:tc>
          <w:tcPr>
            <w:tcW w:type="dxa" w:w="4997"/>
            <w:tcMar>
              <w:top w:w="80" w:type="dxa"/>
              <w:start w:w="100" w:type="dxa"/>
              <w:bottom w:w="80" w:type="dxa"/>
              <w:end w:w="100" w:type="dxa"/>
            </w:tcMar>
            <w:tcBorders>
              <w:top w:val="single" w:sz="4" w:color="D7E3EC"/>
              <w:left w:val="single" w:sz="4" w:color="D7E3EC"/>
              <w:bottom w:val="single" w:sz="4" w:color="D7E3EC"/>
              <w:right w:val="single" w:sz="4" w:color="D7E3EC"/>
            </w:tcBorders>
            <w:vAlign w:val="top"/>
          </w:tcPr>
          <w:p>
            <w:r>
              <w:rPr>
                <w:rFonts w:ascii="Aptos" w:hAnsi="Aptos"/>
                <w:b w:val="0"/>
                <w:i w:val="0"/>
                <w:color w:val="0F172A"/>
                <w:sz w:val="19"/>
              </w:rPr>
              <w:t>StagingPOS @ 8b879d4b5 (2026-10-02)</w:t>
            </w:r>
          </w:p>
        </w:tc>
      </w:tr>
      <w:tr>
        <w:tc>
          <w:tcPr>
            <w:tcW w:type="dxa" w:w="4997"/>
            <w:shd w:fill="EAF2F8"/>
            <w:tcMar>
              <w:top w:w="80" w:type="dxa"/>
              <w:start w:w="100" w:type="dxa"/>
              <w:bottom w:w="80" w:type="dxa"/>
              <w:end w:w="100" w:type="dxa"/>
            </w:tcMar>
            <w:tcBorders>
              <w:top w:val="single" w:sz="4" w:color="D7E3EC"/>
              <w:left w:val="single" w:sz="4" w:color="D7E3EC"/>
              <w:bottom w:val="single" w:sz="4" w:color="D7E3EC"/>
              <w:right w:val="single" w:sz="4" w:color="D7E3EC"/>
            </w:tcBorders>
            <w:vAlign w:val="top"/>
          </w:tcPr>
          <w:p>
            <w:r>
              <w:rPr>
                <w:rFonts w:ascii="Aptos" w:hAnsi="Aptos"/>
                <w:b/>
                <w:i w:val="0"/>
                <w:color w:val="0F172A"/>
                <w:sz w:val="19"/>
              </w:rPr>
              <w:t>Repository / Worktree</w:t>
            </w:r>
          </w:p>
        </w:tc>
        <w:tc>
          <w:tcPr>
            <w:tcW w:type="dxa" w:w="4997"/>
            <w:tcMar>
              <w:top w:w="80" w:type="dxa"/>
              <w:start w:w="100" w:type="dxa"/>
              <w:bottom w:w="80" w:type="dxa"/>
              <w:end w:w="100" w:type="dxa"/>
            </w:tcMar>
            <w:tcBorders>
              <w:top w:val="single" w:sz="4" w:color="D7E3EC"/>
              <w:left w:val="single" w:sz="4" w:color="D7E3EC"/>
              <w:bottom w:val="single" w:sz="4" w:color="D7E3EC"/>
              <w:right w:val="single" w:sz="4" w:color="D7E3EC"/>
            </w:tcBorders>
            <w:vAlign w:val="top"/>
          </w:tcPr>
          <w:p>
            <w:r>
              <w:rPr>
                <w:rFonts w:ascii="Aptos" w:hAnsi="Aptos"/>
                <w:b w:val="0"/>
                <w:i w:val="0"/>
                <w:color w:val="0F172A"/>
                <w:sz w:val="19"/>
              </w:rPr>
              <w:t>C:\xampp\htdocs\POS-DGFY\.worktrees\StagingPOS</w:t>
            </w:r>
          </w:p>
        </w:tc>
      </w:tr>
      <w:tr>
        <w:tc>
          <w:tcPr>
            <w:tcW w:type="dxa" w:w="4997"/>
            <w:shd w:fill="EAF2F8"/>
            <w:tcMar>
              <w:top w:w="80" w:type="dxa"/>
              <w:start w:w="100" w:type="dxa"/>
              <w:bottom w:w="80" w:type="dxa"/>
              <w:end w:w="100" w:type="dxa"/>
            </w:tcMar>
            <w:tcBorders>
              <w:top w:val="single" w:sz="4" w:color="D7E3EC"/>
              <w:left w:val="single" w:sz="4" w:color="D7E3EC"/>
              <w:bottom w:val="single" w:sz="4" w:color="D7E3EC"/>
              <w:right w:val="single" w:sz="4" w:color="D7E3EC"/>
            </w:tcBorders>
            <w:vAlign w:val="top"/>
          </w:tcPr>
          <w:p>
            <w:r>
              <w:rPr>
                <w:rFonts w:ascii="Aptos" w:hAnsi="Aptos"/>
                <w:b/>
                <w:i w:val="0"/>
                <w:color w:val="0F172A"/>
                <w:sz w:val="19"/>
              </w:rPr>
              <w:t>Dependencies</w:t>
            </w:r>
          </w:p>
        </w:tc>
        <w:tc>
          <w:tcPr>
            <w:tcW w:type="dxa" w:w="4997"/>
            <w:tcMar>
              <w:top w:w="80" w:type="dxa"/>
              <w:start w:w="100" w:type="dxa"/>
              <w:bottom w:w="80" w:type="dxa"/>
              <w:end w:w="100" w:type="dxa"/>
            </w:tcMar>
            <w:tcBorders>
              <w:top w:val="single" w:sz="4" w:color="D7E3EC"/>
              <w:left w:val="single" w:sz="4" w:color="D7E3EC"/>
              <w:bottom w:val="single" w:sz="4" w:color="D7E3EC"/>
              <w:right w:val="single" w:sz="4" w:color="D7E3EC"/>
            </w:tcBorders>
            <w:vAlign w:val="top"/>
          </w:tcPr>
          <w:p>
            <w:r>
              <w:rPr>
                <w:rFonts w:ascii="Aptos" w:hAnsi="Aptos"/>
                <w:b w:val="0"/>
                <w:i w:val="0"/>
                <w:color w:val="0F172A"/>
                <w:sz w:val="19"/>
              </w:rPr>
              <w:t>Mandatory architecture lookup completed; source inspection completed; no implementation approval is implied.</w:t>
            </w:r>
          </w:p>
        </w:tc>
      </w:tr>
    </w:tbl>
    <w:p/>
    <w:p>
      <w:pPr>
        <w:pStyle w:val="Heading1"/>
      </w:pPr>
      <w:r>
        <w:t>Purpose</w:t>
      </w:r>
    </w:p>
    <w:p>
      <w:r>
        <w:rPr>
          <w:rFonts w:ascii="Aptos" w:hAnsi="Aptos"/>
          <w:b w:val="0"/>
          <w:i w:val="0"/>
          <w:sz w:val="21"/>
        </w:rPr>
        <w:t>Entry point for the execution agent. Defines the repository-grounded objective, reading order, traceability, dependencies, and decision gates.</w:t>
      </w:r>
    </w:p>
    <w:p>
      <w:pPr>
        <w:pStyle w:val="Heading1"/>
      </w:pPr>
      <w:r>
        <w:t>Confirmed Facts</w:t>
      </w:r>
    </w:p>
    <w:p>
      <w:pPr>
        <w:pStyle w:val="ListBullet"/>
      </w:pPr>
      <w:r>
        <w:rPr>
          <w:rFonts w:ascii="Aptos" w:hAnsi="Aptos"/>
          <w:b w:val="0"/>
          <w:i w:val="0"/>
          <w:sz w:val="20"/>
        </w:rPr>
        <w:t>CONFIRMED: The POS F&amp;B flow already has an order_method value of delivery in packages/web-core/src/features/pos/components/FnbWorkflowPanel.jsx and related hooks.</w:t>
      </w:r>
    </w:p>
    <w:p>
      <w:pPr>
        <w:pStyle w:val="ListBullet"/>
      </w:pPr>
      <w:r>
        <w:rPr>
          <w:rFonts w:ascii="Aptos" w:hAnsi="Aptos"/>
          <w:b w:val="0"/>
          <w:i w:val="0"/>
          <w:sz w:val="20"/>
        </w:rPr>
        <w:t>CONFIRMED: The current checkout dialog's generic Payment Type options are cash, GCash, Maya, Card, Bank Transfer, and Employee Credit; Foodpanda and Grab are not current direct checkout payment types.</w:t>
      </w:r>
    </w:p>
    <w:p>
      <w:pPr>
        <w:pStyle w:val="ListBullet"/>
      </w:pPr>
      <w:r>
        <w:rPr>
          <w:rFonts w:ascii="Aptos" w:hAnsi="Aptos"/>
          <w:b w:val="0"/>
          <w:i w:val="0"/>
          <w:sz w:val="20"/>
        </w:rPr>
        <w:t>CONFIRMED: The backend checkout validator accepts generic payment_type values and does not currently accept a delivery-provider breakdown field.</w:t>
      </w:r>
    </w:p>
    <w:p>
      <w:pPr>
        <w:pStyle w:val="ListBullet"/>
      </w:pPr>
      <w:r>
        <w:rPr>
          <w:rFonts w:ascii="Aptos" w:hAnsi="Aptos"/>
          <w:b w:val="0"/>
          <w:i w:val="0"/>
          <w:sz w:val="20"/>
        </w:rPr>
        <w:t>CONFIRMED: Completed transactions already persist an immutable generic payment_breakdown snapshot used by receipts and reporting.</w:t>
      </w:r>
    </w:p>
    <w:p>
      <w:pPr>
        <w:pStyle w:val="ListBullet"/>
      </w:pPr>
      <w:r>
        <w:rPr>
          <w:rFonts w:ascii="Aptos" w:hAnsi="Aptos"/>
          <w:b w:val="0"/>
          <w:i w:val="0"/>
          <w:sz w:val="20"/>
        </w:rPr>
        <w:t>CONFIRMED: Z-reading details are saved immutable snapshots and are not reconstructed from mutable live transactions after close.</w:t>
      </w:r>
    </w:p>
    <w:p>
      <w:pPr>
        <w:pStyle w:val="ListBullet"/>
      </w:pPr>
      <w:r>
        <w:rPr>
          <w:rFonts w:ascii="Aptos" w:hAnsi="Aptos"/>
          <w:b w:val="0"/>
          <w:i w:val="0"/>
          <w:sz w:val="20"/>
        </w:rPr>
        <w:t>CONFIRMED: The repository has a route -&gt; controller -&gt; usecase -&gt; repository -&gt; model architecture and architecture guardrails pass at the baseline.</w:t>
      </w:r>
    </w:p>
    <w:p>
      <w:pPr>
        <w:pStyle w:val="ListBullet"/>
      </w:pPr>
      <w:r>
        <w:rPr>
          <w:rFonts w:ascii="Aptos" w:hAnsi="Aptos"/>
          <w:b w:val="0"/>
          <w:i w:val="0"/>
          <w:sz w:val="20"/>
        </w:rPr>
        <w:t>INFERRED: Foodpanda, Grab, and Other are delivery-provider classifications, not replacements for the generic tender method used for settlement and cash/tender reporting.</w:t>
      </w:r>
    </w:p>
    <w:p>
      <w:pPr>
        <w:pStyle w:val="ListBullet"/>
      </w:pPr>
      <w:r>
        <w:rPr>
          <w:rFonts w:ascii="Aptos" w:hAnsi="Aptos"/>
          <w:b w:val="0"/>
          <w:i w:val="0"/>
          <w:sz w:val="20"/>
        </w:rPr>
        <w:t>CONFIRMED: The active worktree is C:\xampp\htdocs\POS-DGFY\.worktrees\StagingPOS on branch StagingPOS at commit 8b879d4b5.</w:t>
      </w:r>
    </w:p>
    <w:p>
      <w:pPr>
        <w:pStyle w:val="ListBullet"/>
      </w:pPr>
      <w:r>
        <w:rPr>
          <w:rFonts w:ascii="Aptos" w:hAnsi="Aptos"/>
          <w:b w:val="0"/>
          <w:i w:val="0"/>
          <w:sz w:val="20"/>
        </w:rPr>
        <w:t>CONFIRMED: The worktree has an unrelated untracked apps/dgfy-api/storage/ directory; it is preserved and excluded from this feature plan.</w:t>
      </w:r>
    </w:p>
    <w:p>
      <w:pPr>
        <w:pStyle w:val="ListBullet"/>
      </w:pPr>
      <w:r>
        <w:rPr>
          <w:rFonts w:ascii="Aptos" w:hAnsi="Aptos"/>
          <w:b w:val="0"/>
          <w:i w:val="0"/>
          <w:sz w:val="20"/>
        </w:rPr>
        <w:t>CONFIRMED: npm run check:architecture passed: 56 modules, 671 code files, and 103 controller files were checked without violations.</w:t>
      </w:r>
    </w:p>
    <w:p>
      <w:pPr>
        <w:pStyle w:val="ListBullet"/>
      </w:pPr>
      <w:r>
        <w:rPr>
          <w:rFonts w:ascii="Aptos" w:hAnsi="Aptos"/>
          <w:b w:val="0"/>
          <w:i w:val="0"/>
          <w:sz w:val="20"/>
        </w:rPr>
        <w:t>CONFIRMED: The phase ledger has Phase 471 in_progress and states Phase 472 is not eligible until Phase 471 acceptance gates are complete.</w:t>
      </w:r>
    </w:p>
    <w:p>
      <w:pPr>
        <w:pStyle w:val="Heading1"/>
      </w:pPr>
      <w:r>
        <w:t>Assumptions and Unknowns</w:t>
      </w:r>
    </w:p>
    <w:p>
      <w:pPr>
        <w:pStyle w:val="ListBullet"/>
      </w:pPr>
      <w:r>
        <w:rPr>
          <w:rFonts w:ascii="Aptos" w:hAnsi="Aptos"/>
          <w:b w:val="0"/>
          <w:i w:val="0"/>
          <w:sz w:val="20"/>
        </w:rPr>
        <w:t>ASSUMED/RECOMMENDED: The user wants delivery-provider amounts captured per delivery transaction, with a repeatable breakdown so the example Grab = 180 and Maxim (Other) = 90 can be represented without creating duplicate sales.</w:t>
      </w:r>
    </w:p>
    <w:p>
      <w:pPr>
        <w:pStyle w:val="ListBullet"/>
      </w:pPr>
      <w:r>
        <w:rPr>
          <w:rFonts w:ascii="Aptos" w:hAnsi="Aptos"/>
          <w:b w:val="0"/>
          <w:i w:val="0"/>
          <w:sz w:val="20"/>
        </w:rPr>
        <w:t>DECISION GATE D-001: Confirm whether the example is one transaction split between two delivery providers or two separate transactions. The plan uses a repeatable provider breakdown as the safer default; if the example means two transactions, the same snapshot shape still works with one row per transaction.</w:t>
      </w:r>
    </w:p>
    <w:p>
      <w:pPr>
        <w:pStyle w:val="ListBullet"/>
      </w:pPr>
      <w:r>
        <w:rPr>
          <w:rFonts w:ascii="Aptos" w:hAnsi="Aptos"/>
          <w:b w:val="0"/>
          <w:i w:val="0"/>
          <w:sz w:val="20"/>
        </w:rPr>
        <w:t>DECISION GATE D-002: Confirm whether only one Other provider row is allowed per transaction. The recommended v1 rule is one row for each of Foodpanda, Grab, and Other, with Other requiring one provider name.</w:t>
      </w:r>
    </w:p>
    <w:p>
      <w:pPr>
        <w:pStyle w:val="ListBullet"/>
      </w:pPr>
      <w:r>
        <w:rPr>
          <w:rFonts w:ascii="Aptos" w:hAnsi="Aptos"/>
          <w:b w:val="0"/>
          <w:i w:val="0"/>
          <w:sz w:val="20"/>
        </w:rPr>
        <w:t>ASSUMED: The visible label should be Foodpanda, normalized from the user's Food Pand wording.</w:t>
      </w:r>
    </w:p>
    <w:p>
      <w:pPr>
        <w:pStyle w:val="Heading1"/>
      </w:pPr>
      <w:r>
        <w:t>Requirements Covered</w:t>
      </w:r>
    </w:p>
    <w:p>
      <w:pPr>
        <w:pStyle w:val="ListBullet"/>
      </w:pPr>
      <w:r>
        <w:rPr>
          <w:rFonts w:ascii="Aptos" w:hAnsi="Aptos"/>
          <w:b w:val="0"/>
          <w:i w:val="0"/>
          <w:sz w:val="20"/>
        </w:rPr>
        <w:t>FR-001 through FR-011: Delivery provider selection, validation, persistence, idempotency, and unchanged non-delivery behavior.</w:t>
      </w:r>
    </w:p>
    <w:p>
      <w:pPr>
        <w:pStyle w:val="ListBullet"/>
      </w:pPr>
      <w:r>
        <w:rPr>
          <w:rFonts w:ascii="Aptos" w:hAnsi="Aptos"/>
          <w:b w:val="0"/>
          <w:i w:val="0"/>
          <w:sz w:val="20"/>
        </w:rPr>
        <w:t>BR-001 through BR-011: Provider/tender separation, three-option rule, amount conservation, historical immutability, and split-tender interaction.</w:t>
      </w:r>
    </w:p>
    <w:p>
      <w:pPr>
        <w:pStyle w:val="ListBullet"/>
      </w:pPr>
      <w:r>
        <w:rPr>
          <w:rFonts w:ascii="Aptos" w:hAnsi="Aptos"/>
          <w:b w:val="0"/>
          <w:i w:val="0"/>
          <w:sz w:val="20"/>
        </w:rPr>
        <w:t>DATA-001 through DATA-006: Additive snapshot storage, legacy compatibility, and no backfill of old transactions.</w:t>
      </w:r>
    </w:p>
    <w:p>
      <w:pPr>
        <w:pStyle w:val="ListBullet"/>
      </w:pPr>
      <w:r>
        <w:rPr>
          <w:rFonts w:ascii="Aptos" w:hAnsi="Aptos"/>
          <w:b w:val="0"/>
          <w:i w:val="0"/>
          <w:sz w:val="20"/>
        </w:rPr>
        <w:t>REP-001 through REP-008: POS reports, CSV, Z-reading, browser print, and iMin printer parity without double counting.</w:t>
      </w:r>
    </w:p>
    <w:p>
      <w:pPr>
        <w:pStyle w:val="ListBullet"/>
      </w:pPr>
      <w:r>
        <w:rPr>
          <w:rFonts w:ascii="Aptos" w:hAnsi="Aptos"/>
          <w:b w:val="0"/>
          <w:i w:val="0"/>
          <w:sz w:val="20"/>
        </w:rPr>
        <w:t>SEC-001 through SEC-006: Tenant, location, terminal, shift, input, and replay protections.</w:t>
      </w:r>
    </w:p>
    <w:p>
      <w:pPr>
        <w:pStyle w:val="Heading1"/>
      </w:pPr>
      <w:r>
        <w:t>Plan Content</w:t>
      </w:r>
    </w:p>
    <w:p>
      <w:pPr>
        <w:pStyle w:val="Heading2"/>
      </w:pPr>
      <w:r>
        <w:t>Original User Request</w:t>
      </w:r>
    </w:p>
    <w:p>
      <w:pPr>
        <w:ind w:left="360" w:right="216"/>
      </w:pPr>
      <w:r>
        <w:rPr>
          <w:rFonts w:ascii="Aptos" w:hAnsi="Aptos"/>
          <w:b w:val="0"/>
          <w:i/>
          <w:color w:val="334155"/>
          <w:sz w:val="20"/>
        </w:rPr>
        <w:t>For Delivery payment, limit the choices to Foodpanda, Grab, and Other. When Other is selected, the cashier enters the provider name. The provider and amount must appear consistently in Z-reading and reports; for example, Grab = 180 and Maxim (Other) = 90.</w:t>
      </w:r>
    </w:p>
    <w:p>
      <w:pPr>
        <w:pStyle w:val="Heading2"/>
      </w:pPr>
      <w:r>
        <w:t>Final Objective</w:t>
      </w:r>
    </w:p>
    <w:p>
      <w:r>
        <w:rPr>
          <w:rFonts w:ascii="Aptos" w:hAnsi="Aptos"/>
          <w:b w:val="0"/>
          <w:i w:val="0"/>
          <w:sz w:val="21"/>
        </w:rPr>
        <w:t>Add an auditable delivery-provider breakdown to the existing POS checkout and reporting lifecycle while preserving the existing settlement/tender model. Authorized cashiers will classify Delivery sales as Foodpanda, Grab, or Other; the server will validate and snapshot the provider amounts; reports, Z-reading, browser print, and the iMin printer will consume the same canonical snapshot.</w:t>
      </w:r>
    </w:p>
    <w:p>
      <w:pPr>
        <w:pStyle w:val="Heading2"/>
      </w:pPr>
      <w:r>
        <w:t>Why the plan separates provider from tender</w:t>
      </w:r>
    </w:p>
    <w:p>
      <w:r>
        <w:rPr>
          <w:rFonts w:ascii="Aptos" w:hAnsi="Aptos"/>
          <w:b w:val="0"/>
          <w:i w:val="0"/>
          <w:sz w:val="21"/>
        </w:rPr>
        <w:t>The current payment_type field is the settlement method and is already used for cash, GCash, Maya, card, bank transfer, and employee credit. Replacing it with Foodpanda/Grab/Other would make existing tender, cash, split-payment, and reconciliation logic semantically incorrect. The recommended design adds a Delivery Provider block next to the existing Total Payment area and preserves payment_type for the actual tender method.</w:t>
      </w:r>
    </w:p>
    <w:p>
      <w:r>
        <w:br w:type="page"/>
      </w:r>
    </w:p>
    <w:p>
      <w:pPr>
        <w:pStyle w:val="Heading2"/>
      </w:pPr>
      <w:r>
        <w:t>Plan reading order</w:t>
      </w:r>
    </w:p>
    <w:tbl>
      <w:tblPr>
        <w:tblW w:type="auto" w:w="0"/>
        <w:jc w:val="left"/>
        <w:tblLayout w:type="autofit"/>
        <w:tblLook w:firstColumn="1" w:firstRow="1" w:lastColumn="0" w:lastRow="0" w:noHBand="0" w:noVBand="1" w:val="04A0"/>
      </w:tblPr>
      <w:tblGrid>
        <w:gridCol w:w="3331"/>
        <w:gridCol w:w="3331"/>
        <w:gridCol w:w="3331"/>
      </w:tblGrid>
      <w:tr>
        <w:trPr>
          <w:tblHeader/>
          <w:cantSplit/>
        </w:trPr>
        <w:tc>
          <w:tcPr>
            <w:tcW w:type="dxa" w:w="3331"/>
            <w:shd w:fill="0F4167"/>
            <w:tcMar>
              <w:top w:w="100" w:type="dxa"/>
              <w:start w:w="100" w:type="dxa"/>
              <w:bottom w:w="100" w:type="dxa"/>
              <w:end w:w="100" w:type="dxa"/>
            </w:tcMar>
            <w:vAlign w:val="center"/>
          </w:tcPr>
          <w:p>
            <w:r>
              <w:rPr>
                <w:rFonts w:ascii="Aptos" w:hAnsi="Aptos"/>
                <w:b/>
                <w:i w:val="0"/>
                <w:color w:val="FFFFFF"/>
                <w:sz w:val="18"/>
              </w:rPr>
              <w:t>Order</w:t>
            </w:r>
          </w:p>
        </w:tc>
        <w:tc>
          <w:tcPr>
            <w:tcW w:type="dxa" w:w="3331"/>
            <w:shd w:fill="0F4167"/>
            <w:tcMar>
              <w:top w:w="100" w:type="dxa"/>
              <w:start w:w="100" w:type="dxa"/>
              <w:bottom w:w="100" w:type="dxa"/>
              <w:end w:w="100" w:type="dxa"/>
            </w:tcMar>
            <w:vAlign w:val="center"/>
          </w:tcPr>
          <w:p>
            <w:r>
              <w:rPr>
                <w:rFonts w:ascii="Aptos" w:hAnsi="Aptos"/>
                <w:b/>
                <w:i w:val="0"/>
                <w:color w:val="FFFFFF"/>
                <w:sz w:val="18"/>
              </w:rPr>
              <w:t>DOCX</w:t>
            </w:r>
          </w:p>
        </w:tc>
        <w:tc>
          <w:tcPr>
            <w:tcW w:type="dxa" w:w="3331"/>
            <w:shd w:fill="0F4167"/>
            <w:tcMar>
              <w:top w:w="100" w:type="dxa"/>
              <w:start w:w="100" w:type="dxa"/>
              <w:bottom w:w="100" w:type="dxa"/>
              <w:end w:w="100" w:type="dxa"/>
            </w:tcMar>
            <w:vAlign w:val="center"/>
          </w:tcPr>
          <w:p>
            <w:r>
              <w:rPr>
                <w:rFonts w:ascii="Aptos" w:hAnsi="Aptos"/>
                <w:b/>
                <w:i w:val="0"/>
                <w:color w:val="FFFFFF"/>
                <w:sz w:val="18"/>
              </w:rPr>
              <w:t>Purpose</w:t>
            </w:r>
          </w:p>
        </w:tc>
      </w:tr>
      <w:tr>
        <w:trPr>
          <w:cantSplit/>
        </w:trPr>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1</w:t>
            </w:r>
          </w:p>
        </w:tc>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00_POS_Delivery_Provider_Payment_Breakdown_Index.docx</w:t>
            </w:r>
          </w:p>
        </w:tc>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Read first; objective, baseline, open decisions, indexes, and execution rules.</w:t>
            </w:r>
          </w:p>
        </w:tc>
      </w:tr>
      <w:tr>
        <w:trPr>
          <w:cantSplit/>
        </w:trPr>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2</w:t>
            </w:r>
          </w:p>
        </w:tc>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01_POS_Delivery_Provider_Payment_Breakdown_Objective_and_Current_State.docx</w:t>
            </w:r>
          </w:p>
        </w:tc>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Current flow, root cause, and scope boundary.</w:t>
            </w:r>
          </w:p>
        </w:tc>
      </w:tr>
      <w:tr>
        <w:trPr>
          <w:cantSplit/>
        </w:trPr>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3</w:t>
            </w:r>
          </w:p>
        </w:tc>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02_POS_Delivery_Provider_Payment_Breakdown_Requirements_and_Business_Rules.docx</w:t>
            </w:r>
          </w:p>
        </w:tc>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Testable requirements and explicit business rules.</w:t>
            </w:r>
          </w:p>
        </w:tc>
      </w:tr>
      <w:tr>
        <w:trPr>
          <w:cantSplit/>
        </w:trPr>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4</w:t>
            </w:r>
          </w:p>
        </w:tc>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03_POS_Delivery_Provider_Payment_Breakdown_Target_Architecture_and_Data_Model.docx</w:t>
            </w:r>
          </w:p>
        </w:tc>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Target flow, source of truth, contract, and migration shape.</w:t>
            </w:r>
          </w:p>
        </w:tc>
      </w:tr>
      <w:tr>
        <w:trPr>
          <w:cantSplit/>
        </w:trPr>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5</w:t>
            </w:r>
          </w:p>
        </w:tc>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04_POS_Delivery_Provider_Payment_Breakdown_Backend_and_Persistence.docx</w:t>
            </w:r>
          </w:p>
        </w:tc>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Validator, usecase, repository, model, idempotency, and migration work.</w:t>
            </w:r>
          </w:p>
        </w:tc>
      </w:tr>
      <w:tr>
        <w:trPr>
          <w:cantSplit/>
        </w:trPr>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6</w:t>
            </w:r>
          </w:p>
        </w:tc>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05_POS_Delivery_Provider_Payment_Breakdown_POS_Checkout_UI.docx</w:t>
            </w:r>
          </w:p>
        </w:tc>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Cashier UI, accessibility, loading/error states, and frontend integration.</w:t>
            </w:r>
          </w:p>
        </w:tc>
      </w:tr>
      <w:tr>
        <w:trPr>
          <w:cantSplit/>
        </w:trPr>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7</w:t>
            </w:r>
          </w:p>
        </w:tc>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06_POS_Delivery_Provider_Payment_Breakdown_Z_Reading_Reports_and_Printer.docx</w:t>
            </w:r>
          </w:p>
        </w:tc>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Canonical aggregation and all output surfaces.</w:t>
            </w:r>
          </w:p>
        </w:tc>
      </w:tr>
      <w:tr>
        <w:trPr>
          <w:cantSplit/>
        </w:trPr>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8</w:t>
            </w:r>
          </w:p>
        </w:tc>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07_POS_Delivery_Provider_Payment_Breakdown_Security_History_and_Edge_Cases.docx</w:t>
            </w:r>
          </w:p>
        </w:tc>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Authorization, object scope, historical records, and failure handling.</w:t>
            </w:r>
          </w:p>
        </w:tc>
      </w:tr>
      <w:tr>
        <w:trPr>
          <w:cantSplit/>
        </w:trPr>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9</w:t>
            </w:r>
          </w:p>
        </w:tc>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08_POS_Delivery_Provider_Payment_Breakdown_Implementation_Phases.docx</w:t>
            </w:r>
          </w:p>
        </w:tc>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Dependency-ordered execution phases and delivery sequencing.</w:t>
            </w:r>
          </w:p>
        </w:tc>
      </w:tr>
      <w:tr>
        <w:trPr>
          <w:cantSplit/>
        </w:trPr>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10</w:t>
            </w:r>
          </w:p>
        </w:tc>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09_POS_Delivery_Provider_Payment_Breakdown_Testing_Acceptance_and_Rollback.docx</w:t>
            </w:r>
          </w:p>
        </w:tc>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Verification matrix, acceptance gates, rollout, and rollback.</w:t>
            </w:r>
          </w:p>
        </w:tc>
      </w:tr>
    </w:tbl>
    <w:p/>
    <w:p>
      <w:pPr>
        <w:pStyle w:val="Heading2"/>
      </w:pPr>
      <w:r>
        <w:t>Implementation order at a glance</w:t>
      </w:r>
    </w:p>
    <w:p>
      <w:pPr>
        <w:pStyle w:val="ListNumber"/>
      </w:pPr>
      <w:r>
        <w:rPr>
          <w:rFonts w:ascii="Aptos" w:hAnsi="Aptos"/>
          <w:b w:val="0"/>
          <w:i w:val="0"/>
          <w:sz w:val="20"/>
        </w:rPr>
        <w:t>Resolve D-001 and D-002 before coding; keep the recommended provider/tender separation unless product evidence explicitly changes it.</w:t>
      </w:r>
    </w:p>
    <w:p>
      <w:pPr>
        <w:pStyle w:val="ListNumber"/>
      </w:pPr>
      <w:r>
        <w:rPr>
          <w:rFonts w:ascii="Aptos" w:hAnsi="Aptos"/>
          <w:b w:val="0"/>
          <w:i w:val="0"/>
          <w:sz w:val="20"/>
        </w:rPr>
        <w:t>Add the additive snapshot contract and migration/model support with legacy-safe read behavior.</w:t>
      </w:r>
    </w:p>
    <w:p>
      <w:pPr>
        <w:pStyle w:val="ListNumber"/>
      </w:pPr>
      <w:r>
        <w:rPr>
          <w:rFonts w:ascii="Aptos" w:hAnsi="Aptos"/>
          <w:b w:val="0"/>
          <w:i w:val="0"/>
          <w:sz w:val="20"/>
        </w:rPr>
        <w:t>Implement server validation, server-total conservation, request-hash/idempotency coverage, and repository persistence.</w:t>
      </w:r>
    </w:p>
    <w:p>
      <w:pPr>
        <w:pStyle w:val="ListNumber"/>
      </w:pPr>
      <w:r>
        <w:rPr>
          <w:rFonts w:ascii="Aptos" w:hAnsi="Aptos"/>
          <w:b w:val="0"/>
          <w:i w:val="0"/>
          <w:sz w:val="20"/>
        </w:rPr>
        <w:t>Extend the Delivery checkout UI and shared web-core state/payload without changing non-delivery checkout behavior.</w:t>
      </w:r>
    </w:p>
    <w:p>
      <w:pPr>
        <w:pStyle w:val="ListNumber"/>
      </w:pPr>
      <w:r>
        <w:rPr>
          <w:rFonts w:ascii="Aptos" w:hAnsi="Aptos"/>
          <w:b w:val="0"/>
          <w:i w:val="0"/>
          <w:sz w:val="20"/>
        </w:rPr>
        <w:t>Extend the canonical report/Z-reading aggregation and all print/export surfaces from the same provider snapshot.</w:t>
      </w:r>
    </w:p>
    <w:p>
      <w:pPr>
        <w:pStyle w:val="ListNumber"/>
      </w:pPr>
      <w:r>
        <w:rPr>
          <w:rFonts w:ascii="Aptos" w:hAnsi="Aptos"/>
          <w:b w:val="0"/>
          <w:i w:val="0"/>
          <w:sz w:val="20"/>
        </w:rPr>
        <w:t>Run focused tests, migration rehearsal, security tests, rendered POS evidence, and regression builds before release review.</w:t>
      </w:r>
    </w:p>
    <w:p>
      <w:pPr>
        <w:pStyle w:val="Heading2"/>
      </w:pPr>
      <w:r>
        <w:t>Requirement index</w:t>
      </w:r>
    </w:p>
    <w:tbl>
      <w:tblPr>
        <w:tblW w:type="auto" w:w="0"/>
        <w:jc w:val="left"/>
        <w:tblLayout w:type="autofit"/>
        <w:tblLook w:firstColumn="1" w:firstRow="1" w:lastColumn="0" w:lastRow="0" w:noHBand="0" w:noVBand="1" w:val="04A0"/>
      </w:tblPr>
      <w:tblGrid>
        <w:gridCol w:w="3331"/>
        <w:gridCol w:w="3331"/>
        <w:gridCol w:w="3331"/>
      </w:tblGrid>
      <w:tr>
        <w:trPr>
          <w:tblHeader/>
          <w:cantSplit/>
        </w:trPr>
        <w:tc>
          <w:tcPr>
            <w:tcW w:type="dxa" w:w="3331"/>
            <w:shd w:fill="0F4167"/>
            <w:tcMar>
              <w:top w:w="100" w:type="dxa"/>
              <w:start w:w="100" w:type="dxa"/>
              <w:bottom w:w="100" w:type="dxa"/>
              <w:end w:w="100" w:type="dxa"/>
            </w:tcMar>
            <w:vAlign w:val="center"/>
          </w:tcPr>
          <w:p>
            <w:r>
              <w:rPr>
                <w:rFonts w:ascii="Aptos" w:hAnsi="Aptos"/>
                <w:b/>
                <w:i w:val="0"/>
                <w:color w:val="FFFFFF"/>
                <w:sz w:val="18"/>
              </w:rPr>
              <w:t>ID range</w:t>
            </w:r>
          </w:p>
        </w:tc>
        <w:tc>
          <w:tcPr>
            <w:tcW w:type="dxa" w:w="3331"/>
            <w:shd w:fill="0F4167"/>
            <w:tcMar>
              <w:top w:w="100" w:type="dxa"/>
              <w:start w:w="100" w:type="dxa"/>
              <w:bottom w:w="100" w:type="dxa"/>
              <w:end w:w="100" w:type="dxa"/>
            </w:tcMar>
            <w:vAlign w:val="center"/>
          </w:tcPr>
          <w:p>
            <w:r>
              <w:rPr>
                <w:rFonts w:ascii="Aptos" w:hAnsi="Aptos"/>
                <w:b/>
                <w:i w:val="0"/>
                <w:color w:val="FFFFFF"/>
                <w:sz w:val="18"/>
              </w:rPr>
              <w:t>Meaning</w:t>
            </w:r>
          </w:p>
        </w:tc>
        <w:tc>
          <w:tcPr>
            <w:tcW w:type="dxa" w:w="3331"/>
            <w:shd w:fill="0F4167"/>
            <w:tcMar>
              <w:top w:w="100" w:type="dxa"/>
              <w:start w:w="100" w:type="dxa"/>
              <w:bottom w:w="100" w:type="dxa"/>
              <w:end w:w="100" w:type="dxa"/>
            </w:tcMar>
            <w:vAlign w:val="center"/>
          </w:tcPr>
          <w:p>
            <w:r>
              <w:rPr>
                <w:rFonts w:ascii="Aptos" w:hAnsi="Aptos"/>
                <w:b/>
                <w:i w:val="0"/>
                <w:color w:val="FFFFFF"/>
                <w:sz w:val="18"/>
              </w:rPr>
              <w:t>Primary sections</w:t>
            </w:r>
          </w:p>
        </w:tc>
      </w:tr>
      <w:tr>
        <w:trPr>
          <w:cantSplit/>
        </w:trPr>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FR-001..011</w:t>
            </w:r>
          </w:p>
        </w:tc>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Functional behavior</w:t>
            </w:r>
          </w:p>
        </w:tc>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02, 04, 05</w:t>
            </w:r>
          </w:p>
        </w:tc>
      </w:tr>
      <w:tr>
        <w:trPr>
          <w:cantSplit/>
        </w:trPr>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BR-001..011</w:t>
            </w:r>
          </w:p>
        </w:tc>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Business rules</w:t>
            </w:r>
          </w:p>
        </w:tc>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02, 03, 07</w:t>
            </w:r>
          </w:p>
        </w:tc>
      </w:tr>
      <w:tr>
        <w:trPr>
          <w:cantSplit/>
        </w:trPr>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DATA-001..006</w:t>
            </w:r>
          </w:p>
        </w:tc>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Data and migration</w:t>
            </w:r>
          </w:p>
        </w:tc>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03, 04, 09</w:t>
            </w:r>
          </w:p>
        </w:tc>
      </w:tr>
      <w:tr>
        <w:trPr>
          <w:cantSplit/>
        </w:trPr>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UI-001..008</w:t>
            </w:r>
          </w:p>
        </w:tc>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Cashier experience</w:t>
            </w:r>
          </w:p>
        </w:tc>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05, 09</w:t>
            </w:r>
          </w:p>
        </w:tc>
      </w:tr>
      <w:tr>
        <w:trPr>
          <w:cantSplit/>
        </w:trPr>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REP-001..008</w:t>
            </w:r>
          </w:p>
        </w:tc>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Reports/Z-reading/printer</w:t>
            </w:r>
          </w:p>
        </w:tc>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06, 09</w:t>
            </w:r>
          </w:p>
        </w:tc>
      </w:tr>
      <w:tr>
        <w:trPr>
          <w:cantSplit/>
        </w:trPr>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SEC-001..006</w:t>
            </w:r>
          </w:p>
        </w:tc>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Security and scope</w:t>
            </w:r>
          </w:p>
        </w:tc>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07, 09</w:t>
            </w:r>
          </w:p>
        </w:tc>
      </w:tr>
      <w:tr>
        <w:trPr>
          <w:cantSplit/>
        </w:trPr>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AUD-001..003</w:t>
            </w:r>
          </w:p>
        </w:tc>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Audit and observability</w:t>
            </w:r>
          </w:p>
        </w:tc>
        <w:tc>
          <w:tcPr>
            <w:tcW w:type="dxa" w:w="3331"/>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04, 07, 09</w:t>
            </w:r>
          </w:p>
        </w:tc>
      </w:tr>
      <w:tr>
        <w:trPr>
          <w:cantSplit/>
        </w:trPr>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NFR-001..005</w:t>
            </w:r>
          </w:p>
        </w:tc>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Reliability/performance/compatibility</w:t>
            </w:r>
          </w:p>
        </w:tc>
        <w:tc>
          <w:tcPr>
            <w:tcW w:type="dxa" w:w="3331"/>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03, 07, 09</w:t>
            </w:r>
          </w:p>
        </w:tc>
      </w:tr>
    </w:tbl>
    <w:p/>
    <w:p>
      <w:pPr>
        <w:pStyle w:val="Heading2"/>
      </w:pPr>
      <w:r>
        <w:t>Business-rule index</w:t>
      </w:r>
    </w:p>
    <w:p>
      <w:pPr>
        <w:pStyle w:val="ListBullet"/>
      </w:pPr>
      <w:r>
        <w:rPr>
          <w:rFonts w:ascii="Aptos" w:hAnsi="Aptos"/>
          <w:b w:val="0"/>
          <w:i w:val="0"/>
          <w:sz w:val="20"/>
        </w:rPr>
        <w:t>BR-001: Provider classification is Delivery-only; do not reinterpret generic payment_type.</w:t>
      </w:r>
    </w:p>
    <w:p>
      <w:pPr>
        <w:pStyle w:val="ListBullet"/>
      </w:pPr>
      <w:r>
        <w:rPr>
          <w:rFonts w:ascii="Aptos" w:hAnsi="Aptos"/>
          <w:b w:val="0"/>
          <w:i w:val="0"/>
          <w:sz w:val="20"/>
        </w:rPr>
        <w:t>BR-002: Exactly Foodpanda, Grab, and Other are accepted provider types.</w:t>
      </w:r>
    </w:p>
    <w:p>
      <w:pPr>
        <w:pStyle w:val="ListBullet"/>
      </w:pPr>
      <w:r>
        <w:rPr>
          <w:rFonts w:ascii="Aptos" w:hAnsi="Aptos"/>
          <w:b w:val="0"/>
          <w:i w:val="0"/>
          <w:sz w:val="20"/>
        </w:rPr>
        <w:t>BR-003: Other requires a trimmed cashier-entered provider name.</w:t>
      </w:r>
    </w:p>
    <w:p>
      <w:pPr>
        <w:pStyle w:val="ListBullet"/>
      </w:pPr>
      <w:r>
        <w:rPr>
          <w:rFonts w:ascii="Aptos" w:hAnsi="Aptos"/>
          <w:b w:val="0"/>
          <w:i w:val="0"/>
          <w:sz w:val="20"/>
        </w:rPr>
        <w:t>BR-004: Provider amounts are positive decimal values whose sum equals the server-computed transaction total under D-001's selected cardinality rule.</w:t>
      </w:r>
    </w:p>
    <w:p>
      <w:pPr>
        <w:pStyle w:val="ListBullet"/>
      </w:pPr>
      <w:r>
        <w:rPr>
          <w:rFonts w:ascii="Aptos" w:hAnsi="Aptos"/>
          <w:b w:val="0"/>
          <w:i w:val="0"/>
          <w:sz w:val="20"/>
        </w:rPr>
        <w:t>BR-005: Server validation is authoritative; the UI is advisory.</w:t>
      </w:r>
    </w:p>
    <w:p>
      <w:pPr>
        <w:pStyle w:val="ListBullet"/>
      </w:pPr>
      <w:r>
        <w:rPr>
          <w:rFonts w:ascii="Aptos" w:hAnsi="Aptos"/>
          <w:b w:val="0"/>
          <w:i w:val="0"/>
          <w:sz w:val="20"/>
        </w:rPr>
        <w:t>BR-006: Provider labels are snapshotted at completion and normalized for display.</w:t>
      </w:r>
    </w:p>
    <w:p>
      <w:pPr>
        <w:pStyle w:val="ListBullet"/>
      </w:pPr>
      <w:r>
        <w:rPr>
          <w:rFonts w:ascii="Aptos" w:hAnsi="Aptos"/>
          <w:b w:val="0"/>
          <w:i w:val="0"/>
          <w:sz w:val="20"/>
        </w:rPr>
        <w:t>BR-007: Closed Z-reading history does not change when current provider configuration changes.</w:t>
      </w:r>
    </w:p>
    <w:p>
      <w:pPr>
        <w:pStyle w:val="ListBullet"/>
      </w:pPr>
      <w:r>
        <w:rPr>
          <w:rFonts w:ascii="Aptos" w:hAnsi="Aptos"/>
          <w:b w:val="0"/>
          <w:i w:val="0"/>
          <w:sz w:val="20"/>
        </w:rPr>
        <w:t>BR-008: Provider rows do not create extra sales, transactions, or payment totals.</w:t>
      </w:r>
    </w:p>
    <w:p>
      <w:pPr>
        <w:pStyle w:val="ListBullet"/>
      </w:pPr>
      <w:r>
        <w:rPr>
          <w:rFonts w:ascii="Aptos" w:hAnsi="Aptos"/>
          <w:b w:val="0"/>
          <w:i w:val="0"/>
          <w:sz w:val="20"/>
        </w:rPr>
        <w:t>BR-009: A provider breakdown cannot be attached to non-delivery orders.</w:t>
      </w:r>
    </w:p>
    <w:p>
      <w:pPr>
        <w:pStyle w:val="ListBullet"/>
      </w:pPr>
      <w:r>
        <w:rPr>
          <w:rFonts w:ascii="Aptos" w:hAnsi="Aptos"/>
          <w:b w:val="0"/>
          <w:i w:val="0"/>
          <w:sz w:val="20"/>
        </w:rPr>
        <w:t>BR-010: Existing generic split tender remains a separate contract; provider amounts must not be silently mixed into tender allocations.</w:t>
      </w:r>
    </w:p>
    <w:p>
      <w:pPr>
        <w:pStyle w:val="ListBullet"/>
      </w:pPr>
      <w:r>
        <w:rPr>
          <w:rFonts w:ascii="Aptos" w:hAnsi="Aptos"/>
          <w:b w:val="0"/>
          <w:i w:val="0"/>
          <w:sz w:val="20"/>
        </w:rPr>
        <w:t>BR-011: Offline checkout remains cash-only unless a separately approved offline contract is added.</w:t>
      </w:r>
    </w:p>
    <w:p>
      <w:pPr>
        <w:pStyle w:val="Heading2"/>
      </w:pPr>
      <w:r>
        <w:t>ADR and governance index</w:t>
      </w:r>
    </w:p>
    <w:p>
      <w:pPr>
        <w:pStyle w:val="ListBullet"/>
      </w:pPr>
      <w:r>
        <w:rPr>
          <w:rFonts w:ascii="Aptos" w:hAnsi="Aptos"/>
          <w:b w:val="0"/>
          <w:i w:val="0"/>
          <w:sz w:val="20"/>
        </w:rPr>
        <w:t>ADR 0029: POS owns sales execution, transaction headers/lines, payments, receipts, discounts, and void lifecycle.</w:t>
      </w:r>
    </w:p>
    <w:p>
      <w:pPr>
        <w:pStyle w:val="ListBullet"/>
      </w:pPr>
      <w:r>
        <w:rPr>
          <w:rFonts w:ascii="Aptos" w:hAnsi="Aptos"/>
          <w:b w:val="0"/>
          <w:i w:val="0"/>
          <w:sz w:val="20"/>
        </w:rPr>
        <w:t>ADR 0031: Checkout mutations remain scoped to authenticated tenant, location, terminal, open shift, and permission context.</w:t>
      </w:r>
    </w:p>
    <w:p>
      <w:pPr>
        <w:pStyle w:val="ListBullet"/>
      </w:pPr>
      <w:r>
        <w:rPr>
          <w:rFonts w:ascii="Aptos" w:hAnsi="Aptos"/>
          <w:b w:val="0"/>
          <w:i w:val="0"/>
          <w:sz w:val="20"/>
        </w:rPr>
        <w:t>ADR 0039: This is within an existing boundary; do not create a new ADR unless execution changes a binding contract. A default-clause change requires an amendment in the implementation PR.</w:t>
      </w:r>
    </w:p>
    <w:p>
      <w:pPr>
        <w:pStyle w:val="ListBullet"/>
      </w:pPr>
      <w:r>
        <w:rPr>
          <w:rFonts w:ascii="Aptos" w:hAnsi="Aptos"/>
          <w:b w:val="0"/>
          <w:i w:val="0"/>
          <w:sz w:val="20"/>
        </w:rPr>
        <w:t>ADR 0063: Existing split-payment source of truth and immutable generic payment_breakdown remain intact; this plan adds a separate provider snapshot rather than overloading tender allocations.</w:t>
      </w:r>
    </w:p>
    <w:p>
      <w:pPr>
        <w:pStyle w:val="ListBullet"/>
      </w:pPr>
      <w:r>
        <w:rPr>
          <w:rFonts w:ascii="Aptos" w:hAnsi="Aptos"/>
          <w:b w:val="0"/>
          <w:i w:val="0"/>
          <w:sz w:val="20"/>
        </w:rPr>
        <w:t>ARCHITECTURE_BOUNDARIES.md and ARCHITECTURE_GOVERNANCE.md: preserve controller/usecase/repository layering and execute the checkout/payment hardening contract.</w:t>
      </w:r>
    </w:p>
    <w:p>
      <w:pPr>
        <w:pStyle w:val="Heading2"/>
      </w:pPr>
      <w:r>
        <w:t>Phase index</w:t>
      </w:r>
    </w:p>
    <w:tbl>
      <w:tblPr>
        <w:tblW w:type="auto" w:w="0"/>
        <w:jc w:val="left"/>
        <w:tblLayout w:type="autofit"/>
        <w:tblLook w:firstColumn="1" w:firstRow="1" w:lastColumn="0" w:lastRow="0" w:noHBand="0" w:noVBand="1" w:val="04A0"/>
      </w:tblPr>
      <w:tblGrid>
        <w:gridCol w:w="2498"/>
        <w:gridCol w:w="2498"/>
        <w:gridCol w:w="2498"/>
        <w:gridCol w:w="2498"/>
      </w:tblGrid>
      <w:tr>
        <w:trPr>
          <w:tblHeader/>
          <w:cantSplit/>
        </w:trPr>
        <w:tc>
          <w:tcPr>
            <w:tcW w:type="dxa" w:w="2498"/>
            <w:shd w:fill="0F4167"/>
            <w:tcMar>
              <w:top w:w="100" w:type="dxa"/>
              <w:start w:w="100" w:type="dxa"/>
              <w:bottom w:w="100" w:type="dxa"/>
              <w:end w:w="100" w:type="dxa"/>
            </w:tcMar>
            <w:vAlign w:val="center"/>
          </w:tcPr>
          <w:p>
            <w:r>
              <w:rPr>
                <w:rFonts w:ascii="Aptos" w:hAnsi="Aptos"/>
                <w:b/>
                <w:i w:val="0"/>
                <w:color w:val="FFFFFF"/>
                <w:sz w:val="18"/>
              </w:rPr>
              <w:t>Phase</w:t>
            </w:r>
          </w:p>
        </w:tc>
        <w:tc>
          <w:tcPr>
            <w:tcW w:type="dxa" w:w="2498"/>
            <w:shd w:fill="0F4167"/>
            <w:tcMar>
              <w:top w:w="100" w:type="dxa"/>
              <w:start w:w="100" w:type="dxa"/>
              <w:bottom w:w="100" w:type="dxa"/>
              <w:end w:w="100" w:type="dxa"/>
            </w:tcMar>
            <w:vAlign w:val="center"/>
          </w:tcPr>
          <w:p>
            <w:r>
              <w:rPr>
                <w:rFonts w:ascii="Aptos" w:hAnsi="Aptos"/>
                <w:b/>
                <w:i w:val="0"/>
                <w:color w:val="FFFFFF"/>
                <w:sz w:val="18"/>
              </w:rPr>
              <w:t>Status</w:t>
            </w:r>
          </w:p>
        </w:tc>
        <w:tc>
          <w:tcPr>
            <w:tcW w:type="dxa" w:w="2498"/>
            <w:shd w:fill="0F4167"/>
            <w:tcMar>
              <w:top w:w="100" w:type="dxa"/>
              <w:start w:w="100" w:type="dxa"/>
              <w:bottom w:w="100" w:type="dxa"/>
              <w:end w:w="100" w:type="dxa"/>
            </w:tcMar>
            <w:vAlign w:val="center"/>
          </w:tcPr>
          <w:p>
            <w:r>
              <w:rPr>
                <w:rFonts w:ascii="Aptos" w:hAnsi="Aptos"/>
                <w:b/>
                <w:i w:val="0"/>
                <w:color w:val="FFFFFF"/>
                <w:sz w:val="18"/>
              </w:rPr>
              <w:t>Objective</w:t>
            </w:r>
          </w:p>
        </w:tc>
        <w:tc>
          <w:tcPr>
            <w:tcW w:type="dxa" w:w="2498"/>
            <w:shd w:fill="0F4167"/>
            <w:tcMar>
              <w:top w:w="100" w:type="dxa"/>
              <w:start w:w="100" w:type="dxa"/>
              <w:bottom w:w="100" w:type="dxa"/>
              <w:end w:w="100" w:type="dxa"/>
            </w:tcMar>
            <w:vAlign w:val="center"/>
          </w:tcPr>
          <w:p>
            <w:r>
              <w:rPr>
                <w:rFonts w:ascii="Aptos" w:hAnsi="Aptos"/>
                <w:b/>
                <w:i w:val="0"/>
                <w:color w:val="FFFFFF"/>
                <w:sz w:val="18"/>
              </w:rPr>
              <w:t>Dependency</w:t>
            </w:r>
          </w:p>
        </w:tc>
      </w:tr>
      <w:tr>
        <w:trPr>
          <w:cantSplit/>
        </w:trPr>
        <w:tc>
          <w:tcPr>
            <w:tcW w:type="dxa" w:w="2498"/>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472</w:t>
            </w:r>
          </w:p>
        </w:tc>
        <w:tc>
          <w:tcPr>
            <w:tcW w:type="dxa" w:w="2498"/>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Planned, not yet eligible</w:t>
            </w:r>
          </w:p>
        </w:tc>
        <w:tc>
          <w:tcPr>
            <w:tcW w:type="dxa" w:w="2498"/>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POS Delivery Provider Payment Breakdown</w:t>
            </w:r>
          </w:p>
        </w:tc>
        <w:tc>
          <w:tcPr>
            <w:tcW w:type="dxa" w:w="2498"/>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Phase 471 must complete its staging/release acceptance gates first.</w:t>
            </w:r>
          </w:p>
        </w:tc>
      </w:tr>
      <w:tr>
        <w:trPr>
          <w:cantSplit/>
        </w:trPr>
        <w:tc>
          <w:tcPr>
            <w:tcW w:type="dxa" w:w="2498"/>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472-A</w:t>
            </w:r>
          </w:p>
        </w:tc>
        <w:tc>
          <w:tcPr>
            <w:tcW w:type="dxa" w:w="2498"/>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Execution subphase</w:t>
            </w:r>
          </w:p>
        </w:tc>
        <w:tc>
          <w:tcPr>
            <w:tcW w:type="dxa" w:w="2498"/>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Contract and storage foundation</w:t>
            </w:r>
          </w:p>
        </w:tc>
        <w:tc>
          <w:tcPr>
            <w:tcW w:type="dxa" w:w="2498"/>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D-001/D-002 resolution.</w:t>
            </w:r>
          </w:p>
        </w:tc>
      </w:tr>
      <w:tr>
        <w:trPr>
          <w:cantSplit/>
        </w:trPr>
        <w:tc>
          <w:tcPr>
            <w:tcW w:type="dxa" w:w="2498"/>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472-B</w:t>
            </w:r>
          </w:p>
        </w:tc>
        <w:tc>
          <w:tcPr>
            <w:tcW w:type="dxa" w:w="2498"/>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Execution subphase</w:t>
            </w:r>
          </w:p>
        </w:tc>
        <w:tc>
          <w:tcPr>
            <w:tcW w:type="dxa" w:w="2498"/>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Backend validation and persistence</w:t>
            </w:r>
          </w:p>
        </w:tc>
        <w:tc>
          <w:tcPr>
            <w:tcW w:type="dxa" w:w="2498"/>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472-A.</w:t>
            </w:r>
          </w:p>
        </w:tc>
      </w:tr>
      <w:tr>
        <w:trPr>
          <w:cantSplit/>
        </w:trPr>
        <w:tc>
          <w:tcPr>
            <w:tcW w:type="dxa" w:w="2498"/>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472-C</w:t>
            </w:r>
          </w:p>
        </w:tc>
        <w:tc>
          <w:tcPr>
            <w:tcW w:type="dxa" w:w="2498"/>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Execution subphase</w:t>
            </w:r>
          </w:p>
        </w:tc>
        <w:tc>
          <w:tcPr>
            <w:tcW w:type="dxa" w:w="2498"/>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POS cashier UI</w:t>
            </w:r>
          </w:p>
        </w:tc>
        <w:tc>
          <w:tcPr>
            <w:tcW w:type="dxa" w:w="2498"/>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472-B API contract.</w:t>
            </w:r>
          </w:p>
        </w:tc>
      </w:tr>
      <w:tr>
        <w:trPr>
          <w:cantSplit/>
        </w:trPr>
        <w:tc>
          <w:tcPr>
            <w:tcW w:type="dxa" w:w="2498"/>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472-D</w:t>
            </w:r>
          </w:p>
        </w:tc>
        <w:tc>
          <w:tcPr>
            <w:tcW w:type="dxa" w:w="2498"/>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Execution subphase</w:t>
            </w:r>
          </w:p>
        </w:tc>
        <w:tc>
          <w:tcPr>
            <w:tcW w:type="dxa" w:w="2498"/>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Reports, Z-reading, export, printer</w:t>
            </w:r>
          </w:p>
        </w:tc>
        <w:tc>
          <w:tcPr>
            <w:tcW w:type="dxa" w:w="2498"/>
            <w:shd w:fill="F7FAFC"/>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472-B canonical read model.</w:t>
            </w:r>
          </w:p>
        </w:tc>
      </w:tr>
      <w:tr>
        <w:trPr>
          <w:cantSplit/>
        </w:trPr>
        <w:tc>
          <w:tcPr>
            <w:tcW w:type="dxa" w:w="2498"/>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472-E</w:t>
            </w:r>
          </w:p>
        </w:tc>
        <w:tc>
          <w:tcPr>
            <w:tcW w:type="dxa" w:w="2498"/>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Execution subphase</w:t>
            </w:r>
          </w:p>
        </w:tc>
        <w:tc>
          <w:tcPr>
            <w:tcW w:type="dxa" w:w="2498"/>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Verification and release evidence</w:t>
            </w:r>
          </w:p>
        </w:tc>
        <w:tc>
          <w:tcPr>
            <w:tcW w:type="dxa" w:w="2498"/>
            <w:tcMar>
              <w:top w:w="80" w:type="dxa"/>
              <w:start w:w="100" w:type="dxa"/>
              <w:bottom w:w="80" w:type="dxa"/>
              <w:end w:w="100" w:type="dxa"/>
            </w:tcMar>
            <w:vAlign w:val="top"/>
            <w:tcBorders>
              <w:top w:val="single" w:sz="4" w:color="D7E3EC"/>
              <w:left w:val="single" w:sz="4" w:color="D7E3EC"/>
              <w:bottom w:val="single" w:sz="4" w:color="D7E3EC"/>
              <w:right w:val="single" w:sz="4" w:color="D7E3EC"/>
            </w:tcBorders>
          </w:tcPr>
          <w:p>
            <w:pPr>
              <w:spacing w:after="40"/>
            </w:pPr>
            <w:r>
              <w:rPr>
                <w:rFonts w:ascii="Aptos" w:hAnsi="Aptos"/>
                <w:b w:val="0"/>
                <w:i w:val="0"/>
                <w:color w:val="1E293B"/>
                <w:sz w:val="18"/>
              </w:rPr>
              <w:t>472-A through 472-D.</w:t>
            </w:r>
          </w:p>
        </w:tc>
      </w:tr>
    </w:tbl>
    <w:p/>
    <w:p>
      <w:pPr>
        <w:pStyle w:val="Heading2"/>
      </w:pPr>
      <w:r>
        <w:t>Warnings</w:t>
      </w:r>
    </w:p>
    <w:p>
      <w:pPr>
        <w:pStyle w:val="ListBullet"/>
      </w:pPr>
      <w:r>
        <w:rPr>
          <w:rFonts w:ascii="Aptos" w:hAnsi="Aptos"/>
          <w:b w:val="0"/>
          <w:i w:val="0"/>
          <w:sz w:val="20"/>
        </w:rPr>
        <w:t>Do not mark Phase 472 completed while Phase 471 remains in_progress or while required staging/release evidence is unavailable.</w:t>
      </w:r>
    </w:p>
    <w:p>
      <w:pPr>
        <w:pStyle w:val="ListBullet"/>
      </w:pPr>
      <w:r>
        <w:rPr>
          <w:rFonts w:ascii="Aptos" w:hAnsi="Aptos"/>
          <w:b w:val="0"/>
          <w:i w:val="0"/>
          <w:sz w:val="20"/>
        </w:rPr>
        <w:t>Do not replace generic payment_type with provider names without an explicit architecture decision and a complete migration of all tender consumers.</w:t>
      </w:r>
    </w:p>
    <w:p>
      <w:pPr>
        <w:pStyle w:val="ListBullet"/>
      </w:pPr>
      <w:r>
        <w:rPr>
          <w:rFonts w:ascii="Aptos" w:hAnsi="Aptos"/>
          <w:b w:val="0"/>
          <w:i w:val="0"/>
          <w:sz w:val="20"/>
        </w:rPr>
        <w:t>Do not claim the two example amounts are one sale or two sales until D-001 is recorded; the plan's repeatable snapshot handles the recommended case without changing sale count.</w:t>
      </w:r>
    </w:p>
    <w:p>
      <w:pPr>
        <w:pStyle w:val="ListBullet"/>
      </w:pPr>
      <w:r>
        <w:rPr>
          <w:rFonts w:ascii="Aptos" w:hAnsi="Aptos"/>
          <w:b w:val="0"/>
          <w:i w:val="0"/>
          <w:sz w:val="20"/>
        </w:rPr>
        <w:t>Do not backfill old transactions or rewrite saved Z-reading snapshots; legacy rows must remain valid with an empty provider breakdown.</w:t>
      </w:r>
    </w:p>
    <w:p>
      <w:pPr>
        <w:pStyle w:val="ListBullet"/>
      </w:pPr>
      <w:r>
        <w:rPr>
          <w:rFonts w:ascii="Aptos" w:hAnsi="Aptos"/>
          <w:b w:val="0"/>
          <w:i w:val="0"/>
          <w:sz w:val="20"/>
        </w:rPr>
        <w:t>This plan creates documents only. It does not authorize implementation, migration execution, commit, PR, merge, deployment, or release.</w:t>
      </w:r>
    </w:p>
    <w:p>
      <w:pPr>
        <w:pStyle w:val="Heading1"/>
      </w:pPr>
      <w:r>
        <w:t>Affected System Components</w:t>
      </w:r>
    </w:p>
    <w:p>
      <w:pPr>
        <w:pStyle w:val="ListBullet"/>
      </w:pPr>
      <w:r>
        <w:rPr>
          <w:rFonts w:ascii="Aptos" w:hAnsi="Aptos"/>
          <w:b w:val="0"/>
          <w:i w:val="0"/>
          <w:sz w:val="20"/>
        </w:rPr>
        <w:t>Primary: packages/web-core/src/features/pos/ checkout components, hooks, services, and printer/print utilities.</w:t>
      </w:r>
    </w:p>
    <w:p>
      <w:pPr>
        <w:pStyle w:val="ListBullet"/>
      </w:pPr>
      <w:r>
        <w:rPr>
          <w:rFonts w:ascii="Aptos" w:hAnsi="Aptos"/>
          <w:b w:val="0"/>
          <w:i w:val="0"/>
          <w:sz w:val="20"/>
        </w:rPr>
        <w:t>Primary: apps/dgfy-api/src/validators, modules/pos/usecases, modules/pos/repositories, and models/PosTransaction.js.</w:t>
      </w:r>
    </w:p>
    <w:p>
      <w:pPr>
        <w:pStyle w:val="ListBullet"/>
      </w:pPr>
      <w:r>
        <w:rPr>
          <w:rFonts w:ascii="Aptos" w:hAnsi="Aptos"/>
          <w:b w:val="0"/>
          <w:i w:val="0"/>
          <w:sz w:val="20"/>
        </w:rPr>
        <w:t>Primary: apps/dgfy-migration-runner/migrations for one additive tenant-schema migration if the recommended JSON field is selected.</w:t>
      </w:r>
    </w:p>
    <w:p>
      <w:pPr>
        <w:pStyle w:val="ListBullet"/>
      </w:pPr>
      <w:r>
        <w:rPr>
          <w:rFonts w:ascii="Aptos" w:hAnsi="Aptos"/>
          <w:b w:val="0"/>
          <w:i w:val="0"/>
          <w:sz w:val="20"/>
        </w:rPr>
        <w:t>Validation: existing POS tests, backend POS tests, report/Z-reading tests, and app build surfaces.</w:t>
      </w:r>
    </w:p>
    <w:p>
      <w:pPr>
        <w:pStyle w:val="ListBullet"/>
      </w:pPr>
      <w:r>
        <w:rPr>
          <w:rFonts w:ascii="Aptos" w:hAnsi="Aptos"/>
          <w:b w:val="0"/>
          <w:i w:val="0"/>
          <w:sz w:val="20"/>
        </w:rPr>
        <w:t>Not a target: IMS, OPIS, Storefront, delivery-job provider configuration, or payment-provider integrations, except for regression checks that they remain unaffected.</w:t>
      </w:r>
    </w:p>
    <w:p>
      <w:pPr>
        <w:pStyle w:val="Heading1"/>
      </w:pPr>
      <w:r>
        <w:t>Risks</w:t>
      </w:r>
    </w:p>
    <w:p>
      <w:pPr>
        <w:pStyle w:val="ListBullet"/>
      </w:pPr>
      <w:r>
        <w:rPr>
          <w:rFonts w:ascii="Aptos" w:hAnsi="Aptos"/>
          <w:b w:val="0"/>
          <w:i w:val="0"/>
          <w:sz w:val="20"/>
        </w:rPr>
        <w:t>RISK-001: Treating provider classification as tender corrupts payment totals and reconciliation.</w:t>
      </w:r>
    </w:p>
    <w:p>
      <w:pPr>
        <w:pStyle w:val="ListBullet"/>
      </w:pPr>
      <w:r>
        <w:rPr>
          <w:rFonts w:ascii="Aptos" w:hAnsi="Aptos"/>
          <w:b w:val="0"/>
          <w:i w:val="0"/>
          <w:sz w:val="20"/>
        </w:rPr>
        <w:t>RISK-002: Ambiguous example cardinality could produce either an overpayment rejection or duplicate transaction totals if not resolved.</w:t>
      </w:r>
    </w:p>
    <w:p>
      <w:pPr>
        <w:pStyle w:val="ListBullet"/>
      </w:pPr>
      <w:r>
        <w:rPr>
          <w:rFonts w:ascii="Aptos" w:hAnsi="Aptos"/>
          <w:b w:val="0"/>
          <w:i w:val="0"/>
          <w:sz w:val="20"/>
        </w:rPr>
        <w:t>RISK-003: A report can double count provider amounts if it adds them to sales totals instead of presenting a classification breakdown.</w:t>
      </w:r>
    </w:p>
    <w:p>
      <w:pPr>
        <w:pStyle w:val="ListBullet"/>
      </w:pPr>
      <w:r>
        <w:rPr>
          <w:rFonts w:ascii="Aptos" w:hAnsi="Aptos"/>
          <w:b w:val="0"/>
          <w:i w:val="0"/>
          <w:sz w:val="20"/>
        </w:rPr>
        <w:t>RISK-004: Direct checkout, split completion, offline sync, void/refund, and historical Z-reading paths may diverge unless the snapshot contract is centralized.</w:t>
      </w:r>
    </w:p>
    <w:p>
      <w:pPr>
        <w:pStyle w:val="ListBullet"/>
      </w:pPr>
      <w:r>
        <w:rPr>
          <w:rFonts w:ascii="Aptos" w:hAnsi="Aptos"/>
          <w:b w:val="0"/>
          <w:i w:val="0"/>
          <w:sz w:val="20"/>
        </w:rPr>
        <w:t>RISK-005: Existing Phase 471 release blockers may delay eligibility for implementation.</w:t>
      </w:r>
    </w:p>
    <w:p>
      <w:pPr>
        <w:pStyle w:val="Heading1"/>
      </w:pPr>
      <w:r>
        <w:t>Tests Required</w:t>
      </w:r>
    </w:p>
    <w:p>
      <w:pPr>
        <w:pStyle w:val="ListBullet"/>
      </w:pPr>
      <w:r>
        <w:rPr>
          <w:rFonts w:ascii="Aptos" w:hAnsi="Aptos"/>
          <w:b w:val="0"/>
          <w:i w:val="0"/>
          <w:sz w:val="20"/>
        </w:rPr>
        <w:t>Inspection: verify every requirement has a phase, test, and acceptance criterion mapping in Section 09.</w:t>
      </w:r>
    </w:p>
    <w:p>
      <w:pPr>
        <w:pStyle w:val="ListBullet"/>
      </w:pPr>
      <w:r>
        <w:rPr>
          <w:rFonts w:ascii="Aptos" w:hAnsi="Aptos"/>
          <w:b w:val="0"/>
          <w:i w:val="0"/>
          <w:sz w:val="20"/>
        </w:rPr>
        <w:t>Architecture: npm run check:architecture already passes at baseline; rerun after implementation.</w:t>
      </w:r>
    </w:p>
    <w:p>
      <w:pPr>
        <w:pStyle w:val="ListBullet"/>
      </w:pPr>
      <w:r>
        <w:rPr>
          <w:rFonts w:ascii="Aptos" w:hAnsi="Aptos"/>
          <w:b w:val="0"/>
          <w:i w:val="0"/>
          <w:sz w:val="20"/>
        </w:rPr>
        <w:t>Document: validate all ten DOCX files render cleanly and contain no placeholders or raw JSON-only plan text.</w:t>
      </w:r>
    </w:p>
    <w:p>
      <w:pPr>
        <w:pStyle w:val="Heading1"/>
      </w:pPr>
      <w:r>
        <w:t>Acceptance Criteria</w:t>
      </w:r>
    </w:p>
    <w:p>
      <w:pPr>
        <w:pStyle w:val="ListBullet"/>
      </w:pPr>
      <w:r>
        <w:rPr>
          <w:rFonts w:ascii="Aptos" w:hAnsi="Aptos"/>
          <w:b w:val="0"/>
          <w:i w:val="0"/>
          <w:sz w:val="20"/>
        </w:rPr>
        <w:t>AC-001: An execution agent can implement the feature by reading the ten DOCX files in the listed order without inventing an owner or source of truth.</w:t>
      </w:r>
    </w:p>
    <w:p>
      <w:pPr>
        <w:pStyle w:val="ListBullet"/>
      </w:pPr>
      <w:r>
        <w:rPr>
          <w:rFonts w:ascii="Aptos" w:hAnsi="Aptos"/>
          <w:b w:val="0"/>
          <w:i w:val="0"/>
          <w:sz w:val="20"/>
        </w:rPr>
        <w:t>AC-002: All unresolved decisions are explicitly named and assigned to a pre-coding decision gate.</w:t>
      </w:r>
    </w:p>
    <w:p>
      <w:pPr>
        <w:pStyle w:val="ListBullet"/>
      </w:pPr>
      <w:r>
        <w:rPr>
          <w:rFonts w:ascii="Aptos" w:hAnsi="Aptos"/>
          <w:b w:val="0"/>
          <w:i w:val="0"/>
          <w:sz w:val="20"/>
        </w:rPr>
        <w:t>AC-003: The plan explicitly preserves generic tender semantics, Z-reading immutability, tenant scope, and legacy data compatibility.</w:t>
      </w:r>
    </w:p>
    <w:p>
      <w:pPr>
        <w:pStyle w:val="Heading1"/>
      </w:pPr>
      <w:r>
        <w:t>Execution Dependencies</w:t>
      </w:r>
    </w:p>
    <w:p>
      <w:pPr>
        <w:pStyle w:val="ListBullet"/>
      </w:pPr>
      <w:r>
        <w:rPr>
          <w:rFonts w:ascii="Aptos" w:hAnsi="Aptos"/>
          <w:b w:val="0"/>
          <w:i w:val="0"/>
          <w:sz w:val="20"/>
        </w:rPr>
        <w:t>Phase 471 completion under docs/features/IMPLEMENTATION_PHASE_LEDGER.md.</w:t>
      </w:r>
    </w:p>
    <w:p>
      <w:pPr>
        <w:pStyle w:val="ListBullet"/>
      </w:pPr>
      <w:r>
        <w:rPr>
          <w:rFonts w:ascii="Aptos" w:hAnsi="Aptos"/>
          <w:b w:val="0"/>
          <w:i w:val="0"/>
          <w:sz w:val="20"/>
        </w:rPr>
        <w:t>Product decision for D-001 and D-002 before backend contract finalization.</w:t>
      </w:r>
    </w:p>
    <w:p>
      <w:pPr>
        <w:pStyle w:val="ListBullet"/>
      </w:pPr>
      <w:r>
        <w:rPr>
          <w:rFonts w:ascii="Aptos" w:hAnsi="Aptos"/>
          <w:b w:val="0"/>
          <w:i w:val="0"/>
          <w:sz w:val="20"/>
        </w:rPr>
        <w:t>No release authorization is included in this plan.</w:t>
      </w:r>
    </w:p>
    <w:p>
      <w:pPr>
        <w:pStyle w:val="Heading1"/>
      </w:pPr>
      <w:r>
        <w:t>Cross-References</w:t>
      </w:r>
    </w:p>
    <w:p>
      <w:pPr>
        <w:pStyle w:val="ListBullet"/>
      </w:pPr>
      <w:r>
        <w:rPr>
          <w:rFonts w:ascii="Aptos" w:hAnsi="Aptos"/>
          <w:b w:val="0"/>
          <w:i w:val="0"/>
          <w:sz w:val="20"/>
        </w:rPr>
        <w:t>docs/START_HERE.md</w:t>
      </w:r>
    </w:p>
    <w:p>
      <w:pPr>
        <w:pStyle w:val="ListBullet"/>
      </w:pPr>
      <w:r>
        <w:rPr>
          <w:rFonts w:ascii="Aptos" w:hAnsi="Aptos"/>
          <w:b w:val="0"/>
          <w:i w:val="0"/>
          <w:sz w:val="20"/>
        </w:rPr>
        <w:t>docs/architecture/ARCHITECTURE_BOUNDARIES.md</w:t>
      </w:r>
    </w:p>
    <w:p>
      <w:pPr>
        <w:pStyle w:val="ListBullet"/>
      </w:pPr>
      <w:r>
        <w:rPr>
          <w:rFonts w:ascii="Aptos" w:hAnsi="Aptos"/>
          <w:b w:val="0"/>
          <w:i w:val="0"/>
          <w:sz w:val="20"/>
        </w:rPr>
        <w:t>docs/architecture/ARCHITECTURE_GOVERNANCE.md</w:t>
      </w:r>
    </w:p>
    <w:p>
      <w:pPr>
        <w:pStyle w:val="ListBullet"/>
      </w:pPr>
      <w:r>
        <w:rPr>
          <w:rFonts w:ascii="Aptos" w:hAnsi="Aptos"/>
          <w:b w:val="0"/>
          <w:i w:val="0"/>
          <w:sz w:val="20"/>
        </w:rPr>
        <w:t>docs/architecture/adr/INDEX.md</w:t>
      </w:r>
    </w:p>
    <w:p>
      <w:pPr>
        <w:pStyle w:val="ListBullet"/>
      </w:pPr>
      <w:r>
        <w:rPr>
          <w:rFonts w:ascii="Aptos" w:hAnsi="Aptos"/>
          <w:b w:val="0"/>
          <w:i w:val="0"/>
          <w:sz w:val="20"/>
        </w:rPr>
        <w:t>docs/features/POS_SPLIT_PAYMENT_CONTRACT.md</w:t>
      </w:r>
    </w:p>
    <w:p>
      <w:pPr>
        <w:pStyle w:val="ListBullet"/>
      </w:pPr>
      <w:r>
        <w:rPr>
          <w:rFonts w:ascii="Aptos" w:hAnsi="Aptos"/>
          <w:b w:val="0"/>
          <w:i w:val="0"/>
          <w:sz w:val="20"/>
        </w:rPr>
        <w:t>docs/api/specification.md</w:t>
      </w:r>
    </w:p>
    <w:p>
      <w:pPr>
        <w:pStyle w:val="ListBullet"/>
      </w:pPr>
      <w:r>
        <w:rPr>
          <w:rFonts w:ascii="Aptos" w:hAnsi="Aptos"/>
          <w:b w:val="0"/>
          <w:i w:val="0"/>
          <w:sz w:val="20"/>
        </w:rPr>
        <w:t>docs/testing/README.md</w:t>
      </w:r>
    </w:p>
    <w:p>
      <w:pPr>
        <w:pStyle w:val="ListBullet"/>
      </w:pPr>
      <w:r>
        <w:rPr>
          <w:rFonts w:ascii="Aptos" w:hAnsi="Aptos"/>
          <w:b w:val="0"/>
          <w:i w:val="0"/>
          <w:sz w:val="20"/>
        </w:rPr>
        <w:t>docs/features/IMPLEMENTATION_PHASE_LEDGER.md</w:t>
      </w:r>
    </w:p>
    <w:sectPr w:rsidR="00FC693F" w:rsidRPr="0006063C" w:rsidSect="00034616">
      <w:headerReference w:type="default" r:id="rId9"/>
      <w:footerReference w:type="default" r:id="rId10"/>
      <w:pgSz w:w="12240" w:h="15840"/>
      <w:pgMar w:top="936" w:right="1123" w:bottom="936"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4748B"/>
        <w:sz w:val="17"/>
      </w:rPr>
      <w:t xml:space="preserve">POS Delivery Provider Payment Breakdown  •  Section 00  •  Page </w:t>
    </w:r>
    <w:r>
      <w:rPr>
        <w:rFonts w:ascii="Aptos" w:hAnsi="Aptos"/>
        <w:b w:val="0"/>
        <w:i w:val="0"/>
        <w:color w:val="64748B"/>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475569"/>
        <w:sz w:val="17"/>
      </w:rPr>
      <w:t>DGFY POS  |  PLAN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F4167"/>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A5B7E"/>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3341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F2D4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 Delivery Provider Payment Breakdown - Section 00 - Plan Index and Execution Guide</dc:title>
  <dc:subject>Execution-ready plan for delivery provider payment classification and reporting</dc:subject>
  <dc:creator>Codex</dc:creator>
  <cp:keywords/>
  <dc:description>Plan artifact only. No application code is changed by this document set.</dc:description>
  <cp:lastModifiedBy/>
  <cp:revision>1</cp:revision>
  <dcterms:created xsi:type="dcterms:W3CDTF">2013-12-23T23:15:00Z</dcterms:created>
  <dcterms:modified xsi:type="dcterms:W3CDTF">2013-12-23T23:15:00Z</dcterms:modified>
  <cp:category/>
</cp:coreProperties>
</file>