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Configurable Payment Processing Fee</w:t>
      </w:r>
    </w:p>
    <w:p>
      <w:pPr>
        <w:spacing w:after="160"/>
      </w:pPr>
      <w:r>
        <w:rPr>
          <w:b/>
          <w:color w:val="0F766E"/>
          <w:sz w:val="22"/>
        </w:rPr>
        <w:t>Plan Index</w:t>
      </w:r>
    </w:p>
    <w:tbl>
      <w:tblPr>
        <w:tblW w:type="auto" w:w="0"/>
        <w:tblLayout w:type="autofit"/>
        <w:tblLook w:firstColumn="1" w:firstRow="1" w:lastColumn="0" w:lastRow="0" w:noHBand="0" w:noVBand="1" w:val="04A0"/>
      </w:tblPr>
      <w:tblGrid>
        <w:gridCol w:w="5083"/>
        <w:gridCol w:w="5083"/>
      </w:tblGrid>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Project name</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POS-DGFY</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Plan version</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1.0</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Section</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00  Plan Index</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Purpose</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Provide the execution agent with the authoritative reading order, system classification, traceability, decisions, risks, and acceptance gates for the configurable payment processing fee feature.</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Dependencies</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Sections 01 through 09; governing ADRs and the current implementation phase ledger.</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Implementation status</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Planning only. No application code is changed by this plan.</w:t>
            </w:r>
          </w:p>
        </w:tc>
      </w:tr>
    </w:tbl>
    <w:p/>
    <w:p>
      <w:pPr>
        <w:pStyle w:val="Heading1"/>
      </w:pPr>
      <w:r>
        <w:t>Original user request</w:t>
      </w:r>
    </w:p>
    <w:p>
      <w:r>
        <w:t>Create a plan to add a processing fee that is configurable so the Owner can see the correct processing fee, and determine whether this is a new feature.</w:t>
      </w:r>
    </w:p>
    <w:p>
      <w:pPr>
        <w:pStyle w:val="Heading1"/>
      </w:pPr>
      <w:r>
        <w:t>Final objective</w:t>
      </w:r>
    </w:p>
    <w:p>
      <w:r>
        <w:t>Add a governed Owner configuration and visibility capability for payment-provider processing fee fallbacks. Actual provider or reconciled fees remain authoritative; Owner configuration is used only when provider financial data is unavailable. The Owner sees the amount, source, policy version, and historical effect in the OPIS Back Office.</w:t>
      </w:r>
    </w:p>
    <w:tbl>
      <w:tblPr>
        <w:tblW w:type="auto" w:w="0"/>
        <w:tblLook w:firstColumn="1" w:firstRow="1" w:lastColumn="0" w:lastRow="0" w:noHBand="0" w:noVBand="1" w:val="04A0"/>
      </w:tblPr>
      <w:tblGrid>
        <w:gridCol w:w="10166"/>
      </w:tblGrid>
      <w:tr>
        <w:tc>
          <w:tcPr>
            <w:tcW w:type="dxa" w:w="10166"/>
            <w:shd w:fill="FFF8E1"/>
            <w:tcBorders>
              <w:top w:val="single" w:sz="6" w:color="D9B44A"/>
              <w:left w:val="single" w:sz="12" w:color="0F766E"/>
              <w:bottom w:val="single" w:sz="6" w:color="D9B44A"/>
              <w:right w:val="single" w:sz="6" w:color="D9B44A"/>
            </w:tcBorders>
          </w:tcPr>
          <w:p>
            <w:r>
              <w:rPr>
                <w:b/>
                <w:color w:val="153B50"/>
              </w:rPr>
              <w:t xml:space="preserve">Classification  </w:t>
            </w:r>
            <w:r>
              <w:t>Yes. This is a new financial-policy and Back Office capability, not a bug fix and not a simple generic setting. The calculation engine already exists, but Owner self-service configuration, source-aware reporting, authorization, and historical-policy controls do not exist as one complete workflow.</w:t>
            </w:r>
          </w:p>
        </w:tc>
      </w:tr>
    </w:tbl>
    <w:p/>
    <w:tbl>
      <w:tblPr>
        <w:tblW w:type="auto" w:w="0"/>
        <w:tblLook w:firstColumn="1" w:firstRow="1" w:lastColumn="0" w:lastRow="0" w:noHBand="0" w:noVBand="1" w:val="04A0"/>
      </w:tblPr>
      <w:tblGrid>
        <w:gridCol w:w="10166"/>
      </w:tblGrid>
      <w:tr>
        <w:tc>
          <w:tcPr>
            <w:tcW w:type="dxa" w:w="10166"/>
            <w:shd w:fill="FDECEC"/>
            <w:tcBorders>
              <w:top w:val="single" w:sz="6" w:color="D9B44A"/>
              <w:left w:val="single" w:sz="12" w:color="0F766E"/>
              <w:bottom w:val="single" w:sz="6" w:color="D9B44A"/>
              <w:right w:val="single" w:sz="6" w:color="D9B44A"/>
            </w:tcBorders>
          </w:tcPr>
          <w:p>
            <w:r>
              <w:rPr>
                <w:b/>
                <w:color w:val="153B50"/>
              </w:rPr>
              <w:t xml:space="preserve">Critical interpretation  </w:t>
            </w:r>
            <w:r>
              <w:t>This plan treats processing fee as the PayMongo provider cost or its exact method-specific fallback. It does not add a customer-facing surcharge, does not change POS cashier totals, and does not reuse the retired service_fee_amount or DGFY convenience-fee contract. If the intended requirement is a customer charge, stop at the decision gate and create a separate pricing and legal plan.</w:t>
            </w:r>
          </w:p>
        </w:tc>
      </w:tr>
    </w:tbl>
    <w:p/>
    <w:p>
      <w:pPr>
        <w:pStyle w:val="Heading1"/>
      </w:pPr>
      <w:r>
        <w:t>System baseline</w:t>
      </w:r>
    </w:p>
    <w:tbl>
      <w:tblPr>
        <w:tblW w:type="auto" w:w="0"/>
        <w:tblLayout w:type="autofit"/>
        <w:tblLook w:firstColumn="1" w:firstRow="1" w:lastColumn="0" w:lastRow="0" w:noHBand="0" w:noVBand="1" w:val="04A0"/>
      </w:tblPr>
      <w:tblGrid>
        <w:gridCol w:w="5083"/>
        <w:gridCol w:w="5083"/>
      </w:tblGrid>
      <w:tr>
        <w:tc>
          <w:tcPr>
            <w:tcW w:type="dxa" w:w="5083"/>
            <w:shd w:fill="153B50"/>
            <w:tcBorders>
              <w:top w:val="single" w:sz="6" w:color="153B50"/>
              <w:left w:val="single" w:sz="4" w:color="FFFFFF"/>
              <w:bottom w:val="single" w:sz="6" w:color="153B50"/>
              <w:right w:val="single" w:sz="4" w:color="FFFFFF"/>
            </w:tcBorders>
          </w:tcPr>
          <w:p>
            <w:r>
              <w:rPr>
                <w:b/>
                <w:color w:val="FFFFFF"/>
                <w:sz w:val="17"/>
              </w:rPr>
              <w:t>Baseline</w:t>
            </w:r>
          </w:p>
        </w:tc>
        <w:tc>
          <w:tcPr>
            <w:tcW w:type="dxa" w:w="5083"/>
            <w:shd w:fill="153B50"/>
            <w:tcBorders>
              <w:top w:val="single" w:sz="6" w:color="153B50"/>
              <w:left w:val="single" w:sz="4" w:color="FFFFFF"/>
              <w:bottom w:val="single" w:sz="6" w:color="153B50"/>
              <w:right w:val="single" w:sz="4" w:color="FFFFFF"/>
            </w:tcBorders>
          </w:tcPr>
          <w:p>
            <w:r>
              <w:rPr>
                <w:b/>
                <w:color w:val="FFFFFF"/>
                <w:sz w:val="17"/>
              </w:rPr>
              <w:t>Value</w:t>
            </w:r>
          </w:p>
        </w:tc>
      </w:tr>
      <w:tr>
        <w:tc>
          <w:tcPr>
            <w:tcW w:type="dxa" w:w="2880"/>
            <w:shd w:fill="F8FAFC"/>
            <w:tcBorders>
              <w:top w:val="single" w:sz="3" w:color="D9E2EC"/>
              <w:left w:val="single" w:sz="3" w:color="D9E2EC"/>
              <w:bottom w:val="single" w:sz="3" w:color="D9E2EC"/>
              <w:right w:val="single" w:sz="3" w:color="D9E2EC"/>
            </w:tcBorders>
          </w:tcPr>
          <w:p>
            <w:pPr>
              <w:spacing w:after="20"/>
            </w:pPr>
            <w:r>
              <w:rPr>
                <w:sz w:val="16"/>
              </w:rPr>
              <w:t>Repository</w:t>
            </w:r>
          </w:p>
        </w:tc>
        <w:tc>
          <w:tcPr>
            <w:tcW w:type="dxa" w:w="6768"/>
            <w:shd w:fill="F8FAFC"/>
            <w:tcBorders>
              <w:top w:val="single" w:sz="3" w:color="D9E2EC"/>
              <w:left w:val="single" w:sz="3" w:color="D9E2EC"/>
              <w:bottom w:val="single" w:sz="3" w:color="D9E2EC"/>
              <w:right w:val="single" w:sz="3" w:color="D9E2EC"/>
            </w:tcBorders>
          </w:tcPr>
          <w:p>
            <w:pPr>
              <w:spacing w:after="20"/>
            </w:pPr>
            <w:r>
              <w:rPr>
                <w:sz w:val="16"/>
              </w:rPr>
              <w:t>POS-DGFY</w:t>
            </w:r>
          </w:p>
        </w:tc>
      </w:tr>
      <w:tr>
        <w:tc>
          <w:tcPr>
            <w:tcW w:type="dxa" w:w="2880"/>
            <w:tcBorders>
              <w:top w:val="single" w:sz="3" w:color="D9E2EC"/>
              <w:left w:val="single" w:sz="3" w:color="D9E2EC"/>
              <w:bottom w:val="single" w:sz="3" w:color="D9E2EC"/>
              <w:right w:val="single" w:sz="3" w:color="D9E2EC"/>
            </w:tcBorders>
          </w:tcPr>
          <w:p>
            <w:pPr>
              <w:spacing w:after="20"/>
            </w:pPr>
            <w:r>
              <w:rPr>
                <w:sz w:val="16"/>
              </w:rPr>
              <w:t>Worktree and branch</w:t>
            </w:r>
          </w:p>
        </w:tc>
        <w:tc>
          <w:tcPr>
            <w:tcW w:type="dxa" w:w="6768"/>
            <w:tcBorders>
              <w:top w:val="single" w:sz="3" w:color="D9E2EC"/>
              <w:left w:val="single" w:sz="3" w:color="D9E2EC"/>
              <w:bottom w:val="single" w:sz="3" w:color="D9E2EC"/>
              <w:right w:val="single" w:sz="3" w:color="D9E2EC"/>
            </w:tcBorders>
          </w:tcPr>
          <w:p>
            <w:pPr>
              <w:spacing w:after="20"/>
            </w:pPr>
            <w:r>
              <w:rPr>
                <w:sz w:val="16"/>
              </w:rPr>
              <w:t>UpdatePOS at C:\Users\USER\.codex\worktrees\updates-pos\POS-DGFY; codex/updates-pos</w:t>
            </w:r>
          </w:p>
        </w:tc>
      </w:tr>
      <w:tr>
        <w:tc>
          <w:tcPr>
            <w:tcW w:type="dxa" w:w="2880"/>
            <w:shd w:fill="F8FAFC"/>
            <w:tcBorders>
              <w:top w:val="single" w:sz="3" w:color="D9E2EC"/>
              <w:left w:val="single" w:sz="3" w:color="D9E2EC"/>
              <w:bottom w:val="single" w:sz="3" w:color="D9E2EC"/>
              <w:right w:val="single" w:sz="3" w:color="D9E2EC"/>
            </w:tcBorders>
          </w:tcPr>
          <w:p>
            <w:pPr>
              <w:spacing w:after="20"/>
            </w:pPr>
            <w:r>
              <w:rPr>
                <w:sz w:val="16"/>
              </w:rPr>
              <w:t>Owner surface</w:t>
            </w:r>
          </w:p>
        </w:tc>
        <w:tc>
          <w:tcPr>
            <w:tcW w:type="dxa" w:w="6768"/>
            <w:shd w:fill="F8FAFC"/>
            <w:tcBorders>
              <w:top w:val="single" w:sz="3" w:color="D9E2EC"/>
              <w:left w:val="single" w:sz="3" w:color="D9E2EC"/>
              <w:bottom w:val="single" w:sz="3" w:color="D9E2EC"/>
              <w:right w:val="single" w:sz="3" w:color="D9E2EC"/>
            </w:tcBorders>
          </w:tcPr>
          <w:p>
            <w:pPr>
              <w:spacing w:after="20"/>
            </w:pPr>
            <w:r>
              <w:rPr>
                <w:sz w:val="16"/>
              </w:rPr>
              <w:t>apps/dgfy-opis as the dedicated Back Office</w:t>
            </w:r>
          </w:p>
        </w:tc>
      </w:tr>
      <w:tr>
        <w:tc>
          <w:tcPr>
            <w:tcW w:type="dxa" w:w="2880"/>
            <w:tcBorders>
              <w:top w:val="single" w:sz="3" w:color="D9E2EC"/>
              <w:left w:val="single" w:sz="3" w:color="D9E2EC"/>
              <w:bottom w:val="single" w:sz="3" w:color="D9E2EC"/>
              <w:right w:val="single" w:sz="3" w:color="D9E2EC"/>
            </w:tcBorders>
          </w:tcPr>
          <w:p>
            <w:pPr>
              <w:spacing w:after="20"/>
            </w:pPr>
            <w:r>
              <w:rPr>
                <w:sz w:val="16"/>
              </w:rPr>
              <w:t>Explicit boundary</w:t>
            </w:r>
          </w:p>
        </w:tc>
        <w:tc>
          <w:tcPr>
            <w:tcW w:type="dxa" w:w="6768"/>
            <w:tcBorders>
              <w:top w:val="single" w:sz="3" w:color="D9E2EC"/>
              <w:left w:val="single" w:sz="3" w:color="D9E2EC"/>
              <w:bottom w:val="single" w:sz="3" w:color="D9E2EC"/>
              <w:right w:val="single" w:sz="3" w:color="D9E2EC"/>
            </w:tcBorders>
          </w:tcPr>
          <w:p>
            <w:pPr>
              <w:spacing w:after="20"/>
            </w:pPr>
            <w:r>
              <w:rPr>
                <w:sz w:val="16"/>
              </w:rPr>
              <w:t>Do not edit apps/dgfy-ims. Do not add customer checkout or terminal fee behavior.</w:t>
            </w:r>
          </w:p>
        </w:tc>
      </w:tr>
      <w:tr>
        <w:tc>
          <w:tcPr>
            <w:tcW w:type="dxa" w:w="2880"/>
            <w:shd w:fill="F8FAFC"/>
            <w:tcBorders>
              <w:top w:val="single" w:sz="3" w:color="D9E2EC"/>
              <w:left w:val="single" w:sz="3" w:color="D9E2EC"/>
              <w:bottom w:val="single" w:sz="3" w:color="D9E2EC"/>
              <w:right w:val="single" w:sz="3" w:color="D9E2EC"/>
            </w:tcBorders>
          </w:tcPr>
          <w:p>
            <w:pPr>
              <w:spacing w:after="20"/>
            </w:pPr>
            <w:r>
              <w:rPr>
                <w:sz w:val="16"/>
              </w:rPr>
              <w:t>Current ledger position</w:t>
            </w:r>
          </w:p>
        </w:tc>
        <w:tc>
          <w:tcPr>
            <w:tcW w:type="dxa" w:w="6768"/>
            <w:shd w:fill="F8FAFC"/>
            <w:tcBorders>
              <w:top w:val="single" w:sz="3" w:color="D9E2EC"/>
              <w:left w:val="single" w:sz="3" w:color="D9E2EC"/>
              <w:bottom w:val="single" w:sz="3" w:color="D9E2EC"/>
              <w:right w:val="single" w:sz="3" w:color="D9E2EC"/>
            </w:tcBorders>
          </w:tcPr>
          <w:p>
            <w:pPr>
              <w:spacing w:after="20"/>
            </w:pPr>
            <w:r>
              <w:rPr>
                <w:sz w:val="16"/>
              </w:rPr>
              <w:t>Phase 473 is in progress. Phase 474 is the next eligible phase after Phase 473 acceptance gates are complete.</w:t>
            </w:r>
          </w:p>
        </w:tc>
      </w:tr>
      <w:tr>
        <w:tc>
          <w:tcPr>
            <w:tcW w:type="dxa" w:w="2880"/>
            <w:tcBorders>
              <w:top w:val="single" w:sz="3" w:color="D9E2EC"/>
              <w:left w:val="single" w:sz="3" w:color="D9E2EC"/>
              <w:bottom w:val="single" w:sz="3" w:color="D9E2EC"/>
              <w:right w:val="single" w:sz="3" w:color="D9E2EC"/>
            </w:tcBorders>
          </w:tcPr>
          <w:p>
            <w:pPr>
              <w:spacing w:after="20"/>
            </w:pPr>
            <w:r>
              <w:rPr>
                <w:sz w:val="16"/>
              </w:rPr>
              <w:t>Plan status</w:t>
            </w:r>
          </w:p>
        </w:tc>
        <w:tc>
          <w:tcPr>
            <w:tcW w:type="dxa" w:w="6768"/>
            <w:tcBorders>
              <w:top w:val="single" w:sz="3" w:color="D9E2EC"/>
              <w:left w:val="single" w:sz="3" w:color="D9E2EC"/>
              <w:bottom w:val="single" w:sz="3" w:color="D9E2EC"/>
              <w:right w:val="single" w:sz="3" w:color="D9E2EC"/>
            </w:tcBorders>
          </w:tcPr>
          <w:p>
            <w:pPr>
              <w:spacing w:after="20"/>
            </w:pPr>
            <w:r>
              <w:rPr>
                <w:sz w:val="16"/>
              </w:rPr>
              <w:t>Planned only. No application code, migration, ADR, or phase-ledger status is changed by this plan.</w:t>
            </w:r>
          </w:p>
        </w:tc>
      </w:tr>
    </w:tbl>
    <w:p/>
    <w:p>
      <w:pPr>
        <w:pStyle w:val="Heading1"/>
      </w:pPr>
      <w:r>
        <w:t>Reading order</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Order</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Document</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Purpose</w:t>
            </w:r>
          </w:p>
        </w:tc>
      </w:tr>
      <w:tr>
        <w:tc>
          <w:tcPr>
            <w:tcW w:type="dxa" w:w="720"/>
            <w:shd w:fill="F8FAFC"/>
            <w:tcBorders>
              <w:top w:val="single" w:sz="3" w:color="D9E2EC"/>
              <w:left w:val="single" w:sz="3" w:color="D9E2EC"/>
              <w:bottom w:val="single" w:sz="3" w:color="D9E2EC"/>
              <w:right w:val="single" w:sz="3" w:color="D9E2EC"/>
            </w:tcBorders>
          </w:tcPr>
          <w:p>
            <w:pPr>
              <w:spacing w:after="20"/>
            </w:pPr>
            <w:r>
              <w:rPr>
                <w:sz w:val="16"/>
              </w:rPr>
              <w:t>00</w:t>
            </w:r>
          </w:p>
        </w:tc>
        <w:tc>
          <w:tcPr>
            <w:tcW w:type="dxa" w:w="4320"/>
            <w:shd w:fill="F8FAFC"/>
            <w:tcBorders>
              <w:top w:val="single" w:sz="3" w:color="D9E2EC"/>
              <w:left w:val="single" w:sz="3" w:color="D9E2EC"/>
              <w:bottom w:val="single" w:sz="3" w:color="D9E2EC"/>
              <w:right w:val="single" w:sz="3" w:color="D9E2EC"/>
            </w:tcBorders>
          </w:tcPr>
          <w:p>
            <w:pPr>
              <w:spacing w:after="20"/>
            </w:pPr>
            <w:r>
              <w:rPr>
                <w:sz w:val="16"/>
              </w:rPr>
              <w:t>00_Configurable_Payment_Processing_Fee_Index.docx</w:t>
            </w:r>
          </w:p>
        </w:tc>
        <w:tc>
          <w:tcPr>
            <w:tcW w:type="dxa" w:w="4608"/>
            <w:shd w:fill="F8FAFC"/>
            <w:tcBorders>
              <w:top w:val="single" w:sz="3" w:color="D9E2EC"/>
              <w:left w:val="single" w:sz="3" w:color="D9E2EC"/>
              <w:bottom w:val="single" w:sz="3" w:color="D9E2EC"/>
              <w:right w:val="single" w:sz="3" w:color="D9E2EC"/>
            </w:tcBorders>
          </w:tcPr>
          <w:p>
            <w:pPr>
              <w:spacing w:after="20"/>
            </w:pPr>
            <w:r>
              <w:rPr>
                <w:sz w:val="16"/>
              </w:rPr>
              <w:t>Authoritative index and decision gate</w:t>
            </w:r>
          </w:p>
        </w:tc>
      </w:tr>
      <w:tr>
        <w:tc>
          <w:tcPr>
            <w:tcW w:type="dxa" w:w="720"/>
            <w:tcBorders>
              <w:top w:val="single" w:sz="3" w:color="D9E2EC"/>
              <w:left w:val="single" w:sz="3" w:color="D9E2EC"/>
              <w:bottom w:val="single" w:sz="3" w:color="D9E2EC"/>
              <w:right w:val="single" w:sz="3" w:color="D9E2EC"/>
            </w:tcBorders>
          </w:tcPr>
          <w:p>
            <w:pPr>
              <w:spacing w:after="20"/>
            </w:pPr>
            <w:r>
              <w:rPr>
                <w:sz w:val="16"/>
              </w:rPr>
              <w:t>01</w:t>
            </w:r>
          </w:p>
        </w:tc>
        <w:tc>
          <w:tcPr>
            <w:tcW w:type="dxa" w:w="4320"/>
            <w:tcBorders>
              <w:top w:val="single" w:sz="3" w:color="D9E2EC"/>
              <w:left w:val="single" w:sz="3" w:color="D9E2EC"/>
              <w:bottom w:val="single" w:sz="3" w:color="D9E2EC"/>
              <w:right w:val="single" w:sz="3" w:color="D9E2EC"/>
            </w:tcBorders>
          </w:tcPr>
          <w:p>
            <w:pPr>
              <w:spacing w:after="20"/>
            </w:pPr>
            <w:r>
              <w:rPr>
                <w:sz w:val="16"/>
              </w:rPr>
              <w:t>01_Objective_and_Current_State.docx</w:t>
            </w:r>
          </w:p>
        </w:tc>
        <w:tc>
          <w:tcPr>
            <w:tcW w:type="dxa" w:w="4608"/>
            <w:tcBorders>
              <w:top w:val="single" w:sz="3" w:color="D9E2EC"/>
              <w:left w:val="single" w:sz="3" w:color="D9E2EC"/>
              <w:bottom w:val="single" w:sz="3" w:color="D9E2EC"/>
              <w:right w:val="single" w:sz="3" w:color="D9E2EC"/>
            </w:tcBorders>
          </w:tcPr>
          <w:p>
            <w:pPr>
              <w:spacing w:after="20"/>
            </w:pPr>
            <w:r>
              <w:rPr>
                <w:sz w:val="16"/>
              </w:rPr>
              <w:t>Current flow, evidence, gaps, and root cause</w:t>
            </w:r>
          </w:p>
        </w:tc>
      </w:tr>
      <w:tr>
        <w:tc>
          <w:tcPr>
            <w:tcW w:type="dxa" w:w="720"/>
            <w:shd w:fill="F8FAFC"/>
            <w:tcBorders>
              <w:top w:val="single" w:sz="3" w:color="D9E2EC"/>
              <w:left w:val="single" w:sz="3" w:color="D9E2EC"/>
              <w:bottom w:val="single" w:sz="3" w:color="D9E2EC"/>
              <w:right w:val="single" w:sz="3" w:color="D9E2EC"/>
            </w:tcBorders>
          </w:tcPr>
          <w:p>
            <w:pPr>
              <w:spacing w:after="20"/>
            </w:pPr>
            <w:r>
              <w:rPr>
                <w:sz w:val="16"/>
              </w:rPr>
              <w:t>02</w:t>
            </w:r>
          </w:p>
        </w:tc>
        <w:tc>
          <w:tcPr>
            <w:tcW w:type="dxa" w:w="4320"/>
            <w:shd w:fill="F8FAFC"/>
            <w:tcBorders>
              <w:top w:val="single" w:sz="3" w:color="D9E2EC"/>
              <w:left w:val="single" w:sz="3" w:color="D9E2EC"/>
              <w:bottom w:val="single" w:sz="3" w:color="D9E2EC"/>
              <w:right w:val="single" w:sz="3" w:color="D9E2EC"/>
            </w:tcBorders>
          </w:tcPr>
          <w:p>
            <w:pPr>
              <w:spacing w:after="20"/>
            </w:pPr>
            <w:r>
              <w:rPr>
                <w:sz w:val="16"/>
              </w:rPr>
              <w:t>02_Requirements_and_Business_Rules.docx</w:t>
            </w:r>
          </w:p>
        </w:tc>
        <w:tc>
          <w:tcPr>
            <w:tcW w:type="dxa" w:w="4608"/>
            <w:shd w:fill="F8FAFC"/>
            <w:tcBorders>
              <w:top w:val="single" w:sz="3" w:color="D9E2EC"/>
              <w:left w:val="single" w:sz="3" w:color="D9E2EC"/>
              <w:bottom w:val="single" w:sz="3" w:color="D9E2EC"/>
              <w:right w:val="single" w:sz="3" w:color="D9E2EC"/>
            </w:tcBorders>
          </w:tcPr>
          <w:p>
            <w:pPr>
              <w:spacing w:after="20"/>
            </w:pPr>
            <w:r>
              <w:rPr>
                <w:sz w:val="16"/>
              </w:rPr>
              <w:t>Testable functional, financial, and scope rules</w:t>
            </w:r>
          </w:p>
        </w:tc>
      </w:tr>
      <w:tr>
        <w:tc>
          <w:tcPr>
            <w:tcW w:type="dxa" w:w="720"/>
            <w:tcBorders>
              <w:top w:val="single" w:sz="3" w:color="D9E2EC"/>
              <w:left w:val="single" w:sz="3" w:color="D9E2EC"/>
              <w:bottom w:val="single" w:sz="3" w:color="D9E2EC"/>
              <w:right w:val="single" w:sz="3" w:color="D9E2EC"/>
            </w:tcBorders>
          </w:tcPr>
          <w:p>
            <w:pPr>
              <w:spacing w:after="20"/>
            </w:pPr>
            <w:r>
              <w:rPr>
                <w:sz w:val="16"/>
              </w:rPr>
              <w:t>03</w:t>
            </w:r>
          </w:p>
        </w:tc>
        <w:tc>
          <w:tcPr>
            <w:tcW w:type="dxa" w:w="4320"/>
            <w:tcBorders>
              <w:top w:val="single" w:sz="3" w:color="D9E2EC"/>
              <w:left w:val="single" w:sz="3" w:color="D9E2EC"/>
              <w:bottom w:val="single" w:sz="3" w:color="D9E2EC"/>
              <w:right w:val="single" w:sz="3" w:color="D9E2EC"/>
            </w:tcBorders>
          </w:tcPr>
          <w:p>
            <w:pPr>
              <w:spacing w:after="20"/>
            </w:pPr>
            <w:r>
              <w:rPr>
                <w:sz w:val="16"/>
              </w:rPr>
              <w:t>03_Target_Architecture_and_API.docx</w:t>
            </w:r>
          </w:p>
        </w:tc>
        <w:tc>
          <w:tcPr>
            <w:tcW w:type="dxa" w:w="4608"/>
            <w:tcBorders>
              <w:top w:val="single" w:sz="3" w:color="D9E2EC"/>
              <w:left w:val="single" w:sz="3" w:color="D9E2EC"/>
              <w:bottom w:val="single" w:sz="3" w:color="D9E2EC"/>
              <w:right w:val="single" w:sz="3" w:color="D9E2EC"/>
            </w:tcBorders>
          </w:tcPr>
          <w:p>
            <w:pPr>
              <w:spacing w:after="20"/>
            </w:pPr>
            <w:r>
              <w:rPr>
                <w:sz w:val="16"/>
              </w:rPr>
              <w:t>Target flow, module ownership, data, and API contracts</w:t>
            </w:r>
          </w:p>
        </w:tc>
      </w:tr>
      <w:tr>
        <w:tc>
          <w:tcPr>
            <w:tcW w:type="dxa" w:w="720"/>
            <w:shd w:fill="F8FAFC"/>
            <w:tcBorders>
              <w:top w:val="single" w:sz="3" w:color="D9E2EC"/>
              <w:left w:val="single" w:sz="3" w:color="D9E2EC"/>
              <w:bottom w:val="single" w:sz="3" w:color="D9E2EC"/>
              <w:right w:val="single" w:sz="3" w:color="D9E2EC"/>
            </w:tcBorders>
          </w:tcPr>
          <w:p>
            <w:pPr>
              <w:spacing w:after="20"/>
            </w:pPr>
            <w:r>
              <w:rPr>
                <w:sz w:val="16"/>
              </w:rPr>
              <w:t>04</w:t>
            </w:r>
          </w:p>
        </w:tc>
        <w:tc>
          <w:tcPr>
            <w:tcW w:type="dxa" w:w="4320"/>
            <w:shd w:fill="F8FAFC"/>
            <w:tcBorders>
              <w:top w:val="single" w:sz="3" w:color="D9E2EC"/>
              <w:left w:val="single" w:sz="3" w:color="D9E2EC"/>
              <w:bottom w:val="single" w:sz="3" w:color="D9E2EC"/>
              <w:right w:val="single" w:sz="3" w:color="D9E2EC"/>
            </w:tcBorders>
          </w:tcPr>
          <w:p>
            <w:pPr>
              <w:spacing w:after="20"/>
            </w:pPr>
            <w:r>
              <w:rPr>
                <w:sz w:val="16"/>
              </w:rPr>
              <w:t>04_Data_and_Transaction_Plan.docx</w:t>
            </w:r>
          </w:p>
        </w:tc>
        <w:tc>
          <w:tcPr>
            <w:tcW w:type="dxa" w:w="4608"/>
            <w:shd w:fill="F8FAFC"/>
            <w:tcBorders>
              <w:top w:val="single" w:sz="3" w:color="D9E2EC"/>
              <w:left w:val="single" w:sz="3" w:color="D9E2EC"/>
              <w:bottom w:val="single" w:sz="3" w:color="D9E2EC"/>
              <w:right w:val="single" w:sz="3" w:color="D9E2EC"/>
            </w:tcBorders>
          </w:tcPr>
          <w:p>
            <w:pPr>
              <w:spacing w:after="20"/>
            </w:pPr>
            <w:r>
              <w:rPr>
                <w:sz w:val="16"/>
              </w:rPr>
              <w:t>Policy versions, snapshots, ledger, reconciliation, and migration</w:t>
            </w:r>
          </w:p>
        </w:tc>
      </w:tr>
      <w:tr>
        <w:tc>
          <w:tcPr>
            <w:tcW w:type="dxa" w:w="720"/>
            <w:tcBorders>
              <w:top w:val="single" w:sz="3" w:color="D9E2EC"/>
              <w:left w:val="single" w:sz="3" w:color="D9E2EC"/>
              <w:bottom w:val="single" w:sz="3" w:color="D9E2EC"/>
              <w:right w:val="single" w:sz="3" w:color="D9E2EC"/>
            </w:tcBorders>
          </w:tcPr>
          <w:p>
            <w:pPr>
              <w:spacing w:after="20"/>
            </w:pPr>
            <w:r>
              <w:rPr>
                <w:sz w:val="16"/>
              </w:rPr>
              <w:t>05</w:t>
            </w:r>
          </w:p>
        </w:tc>
        <w:tc>
          <w:tcPr>
            <w:tcW w:type="dxa" w:w="4320"/>
            <w:tcBorders>
              <w:top w:val="single" w:sz="3" w:color="D9E2EC"/>
              <w:left w:val="single" w:sz="3" w:color="D9E2EC"/>
              <w:bottom w:val="single" w:sz="3" w:color="D9E2EC"/>
              <w:right w:val="single" w:sz="3" w:color="D9E2EC"/>
            </w:tcBorders>
          </w:tcPr>
          <w:p>
            <w:pPr>
              <w:spacing w:after="20"/>
            </w:pPr>
            <w:r>
              <w:rPr>
                <w:sz w:val="16"/>
              </w:rPr>
              <w:t>05_Authorization_and_Owner_UX.docx</w:t>
            </w:r>
          </w:p>
        </w:tc>
        <w:tc>
          <w:tcPr>
            <w:tcW w:type="dxa" w:w="4608"/>
            <w:tcBorders>
              <w:top w:val="single" w:sz="3" w:color="D9E2EC"/>
              <w:left w:val="single" w:sz="3" w:color="D9E2EC"/>
              <w:bottom w:val="single" w:sz="3" w:color="D9E2EC"/>
              <w:right w:val="single" w:sz="3" w:color="D9E2EC"/>
            </w:tcBorders>
          </w:tcPr>
          <w:p>
            <w:pPr>
              <w:spacing w:after="20"/>
            </w:pPr>
            <w:r>
              <w:rPr>
                <w:sz w:val="16"/>
              </w:rPr>
              <w:t>Owner permissions, OPIS configuration, and reporting UX</w:t>
            </w:r>
          </w:p>
        </w:tc>
      </w:tr>
      <w:tr>
        <w:tc>
          <w:tcPr>
            <w:tcW w:type="dxa" w:w="720"/>
            <w:shd w:fill="F8FAFC"/>
            <w:tcBorders>
              <w:top w:val="single" w:sz="3" w:color="D9E2EC"/>
              <w:left w:val="single" w:sz="3" w:color="D9E2EC"/>
              <w:bottom w:val="single" w:sz="3" w:color="D9E2EC"/>
              <w:right w:val="single" w:sz="3" w:color="D9E2EC"/>
            </w:tcBorders>
          </w:tcPr>
          <w:p>
            <w:pPr>
              <w:spacing w:after="20"/>
            </w:pPr>
            <w:r>
              <w:rPr>
                <w:sz w:val="16"/>
              </w:rPr>
              <w:t>06</w:t>
            </w:r>
          </w:p>
        </w:tc>
        <w:tc>
          <w:tcPr>
            <w:tcW w:type="dxa" w:w="4320"/>
            <w:shd w:fill="F8FAFC"/>
            <w:tcBorders>
              <w:top w:val="single" w:sz="3" w:color="D9E2EC"/>
              <w:left w:val="single" w:sz="3" w:color="D9E2EC"/>
              <w:bottom w:val="single" w:sz="3" w:color="D9E2EC"/>
              <w:right w:val="single" w:sz="3" w:color="D9E2EC"/>
            </w:tcBorders>
          </w:tcPr>
          <w:p>
            <w:pPr>
              <w:spacing w:after="20"/>
            </w:pPr>
            <w:r>
              <w:rPr>
                <w:sz w:val="16"/>
              </w:rPr>
              <w:t>06_Reports_Audit_and_Historical_Data.docx</w:t>
            </w:r>
          </w:p>
        </w:tc>
        <w:tc>
          <w:tcPr>
            <w:tcW w:type="dxa" w:w="4608"/>
            <w:shd w:fill="F8FAFC"/>
            <w:tcBorders>
              <w:top w:val="single" w:sz="3" w:color="D9E2EC"/>
              <w:left w:val="single" w:sz="3" w:color="D9E2EC"/>
              <w:bottom w:val="single" w:sz="3" w:color="D9E2EC"/>
              <w:right w:val="single" w:sz="3" w:color="D9E2EC"/>
            </w:tcBorders>
          </w:tcPr>
          <w:p>
            <w:pPr>
              <w:spacing w:after="20"/>
            </w:pPr>
            <w:r>
              <w:rPr>
                <w:sz w:val="16"/>
              </w:rPr>
              <w:t>Reports, exports, audit evidence, and historical consistency</w:t>
            </w:r>
          </w:p>
        </w:tc>
      </w:tr>
      <w:tr>
        <w:tc>
          <w:tcPr>
            <w:tcW w:type="dxa" w:w="720"/>
            <w:tcBorders>
              <w:top w:val="single" w:sz="3" w:color="D9E2EC"/>
              <w:left w:val="single" w:sz="3" w:color="D9E2EC"/>
              <w:bottom w:val="single" w:sz="3" w:color="D9E2EC"/>
              <w:right w:val="single" w:sz="3" w:color="D9E2EC"/>
            </w:tcBorders>
          </w:tcPr>
          <w:p>
            <w:pPr>
              <w:spacing w:after="20"/>
            </w:pPr>
            <w:r>
              <w:rPr>
                <w:sz w:val="16"/>
              </w:rPr>
              <w:t>07</w:t>
            </w:r>
          </w:p>
        </w:tc>
        <w:tc>
          <w:tcPr>
            <w:tcW w:type="dxa" w:w="4320"/>
            <w:tcBorders>
              <w:top w:val="single" w:sz="3" w:color="D9E2EC"/>
              <w:left w:val="single" w:sz="3" w:color="D9E2EC"/>
              <w:bottom w:val="single" w:sz="3" w:color="D9E2EC"/>
              <w:right w:val="single" w:sz="3" w:color="D9E2EC"/>
            </w:tcBorders>
          </w:tcPr>
          <w:p>
            <w:pPr>
              <w:spacing w:after="20"/>
            </w:pPr>
            <w:r>
              <w:rPr>
                <w:sz w:val="16"/>
              </w:rPr>
              <w:t>07_Testing_Security_and_Verification.docx</w:t>
            </w:r>
          </w:p>
        </w:tc>
        <w:tc>
          <w:tcPr>
            <w:tcW w:type="dxa" w:w="4608"/>
            <w:tcBorders>
              <w:top w:val="single" w:sz="3" w:color="D9E2EC"/>
              <w:left w:val="single" w:sz="3" w:color="D9E2EC"/>
              <w:bottom w:val="single" w:sz="3" w:color="D9E2EC"/>
              <w:right w:val="single" w:sz="3" w:color="D9E2EC"/>
            </w:tcBorders>
          </w:tcPr>
          <w:p>
            <w:pPr>
              <w:spacing w:after="20"/>
            </w:pPr>
            <w:r>
              <w:rPr>
                <w:sz w:val="16"/>
              </w:rPr>
              <w:t>Local tests, security matrix, and traceability</w:t>
            </w:r>
          </w:p>
        </w:tc>
      </w:tr>
      <w:tr>
        <w:tc>
          <w:tcPr>
            <w:tcW w:type="dxa" w:w="720"/>
            <w:shd w:fill="F8FAFC"/>
            <w:tcBorders>
              <w:top w:val="single" w:sz="3" w:color="D9E2EC"/>
              <w:left w:val="single" w:sz="3" w:color="D9E2EC"/>
              <w:bottom w:val="single" w:sz="3" w:color="D9E2EC"/>
              <w:right w:val="single" w:sz="3" w:color="D9E2EC"/>
            </w:tcBorders>
          </w:tcPr>
          <w:p>
            <w:pPr>
              <w:spacing w:after="20"/>
            </w:pPr>
            <w:r>
              <w:rPr>
                <w:sz w:val="16"/>
              </w:rPr>
              <w:t>08</w:t>
            </w:r>
          </w:p>
        </w:tc>
        <w:tc>
          <w:tcPr>
            <w:tcW w:type="dxa" w:w="4320"/>
            <w:shd w:fill="F8FAFC"/>
            <w:tcBorders>
              <w:top w:val="single" w:sz="3" w:color="D9E2EC"/>
              <w:left w:val="single" w:sz="3" w:color="D9E2EC"/>
              <w:bottom w:val="single" w:sz="3" w:color="D9E2EC"/>
              <w:right w:val="single" w:sz="3" w:color="D9E2EC"/>
            </w:tcBorders>
          </w:tcPr>
          <w:p>
            <w:pPr>
              <w:spacing w:after="20"/>
            </w:pPr>
            <w:r>
              <w:rPr>
                <w:sz w:val="16"/>
              </w:rPr>
              <w:t>08_Implementation_Phases_and_Dependencies.docx</w:t>
            </w:r>
          </w:p>
        </w:tc>
        <w:tc>
          <w:tcPr>
            <w:tcW w:type="dxa" w:w="4608"/>
            <w:shd w:fill="F8FAFC"/>
            <w:tcBorders>
              <w:top w:val="single" w:sz="3" w:color="D9E2EC"/>
              <w:left w:val="single" w:sz="3" w:color="D9E2EC"/>
              <w:bottom w:val="single" w:sz="3" w:color="D9E2EC"/>
              <w:right w:val="single" w:sz="3" w:color="D9E2EC"/>
            </w:tcBorders>
          </w:tcPr>
          <w:p>
            <w:pPr>
              <w:spacing w:after="20"/>
            </w:pPr>
            <w:r>
              <w:rPr>
                <w:sz w:val="16"/>
              </w:rPr>
              <w:t>Phase 474 workstreams, dependencies, and execution order</w:t>
            </w:r>
          </w:p>
        </w:tc>
      </w:tr>
      <w:tr>
        <w:tc>
          <w:tcPr>
            <w:tcW w:type="dxa" w:w="720"/>
            <w:tcBorders>
              <w:top w:val="single" w:sz="3" w:color="D9E2EC"/>
              <w:left w:val="single" w:sz="3" w:color="D9E2EC"/>
              <w:bottom w:val="single" w:sz="3" w:color="D9E2EC"/>
              <w:right w:val="single" w:sz="3" w:color="D9E2EC"/>
            </w:tcBorders>
          </w:tcPr>
          <w:p>
            <w:pPr>
              <w:spacing w:after="20"/>
            </w:pPr>
            <w:r>
              <w:rPr>
                <w:sz w:val="16"/>
              </w:rPr>
              <w:t>09</w:t>
            </w:r>
          </w:p>
        </w:tc>
        <w:tc>
          <w:tcPr>
            <w:tcW w:type="dxa" w:w="4320"/>
            <w:tcBorders>
              <w:top w:val="single" w:sz="3" w:color="D9E2EC"/>
              <w:left w:val="single" w:sz="3" w:color="D9E2EC"/>
              <w:bottom w:val="single" w:sz="3" w:color="D9E2EC"/>
              <w:right w:val="single" w:sz="3" w:color="D9E2EC"/>
            </w:tcBorders>
          </w:tcPr>
          <w:p>
            <w:pPr>
              <w:spacing w:after="20"/>
            </w:pPr>
            <w:r>
              <w:rPr>
                <w:sz w:val="16"/>
              </w:rPr>
              <w:t>09_Rollout_Rollback_and_Acceptance.docx</w:t>
            </w:r>
          </w:p>
        </w:tc>
        <w:tc>
          <w:tcPr>
            <w:tcW w:type="dxa" w:w="4608"/>
            <w:tcBorders>
              <w:top w:val="single" w:sz="3" w:color="D9E2EC"/>
              <w:left w:val="single" w:sz="3" w:color="D9E2EC"/>
              <w:bottom w:val="single" w:sz="3" w:color="D9E2EC"/>
              <w:right w:val="single" w:sz="3" w:color="D9E2EC"/>
            </w:tcBorders>
          </w:tcPr>
          <w:p>
            <w:pPr>
              <w:spacing w:after="20"/>
            </w:pPr>
            <w:r>
              <w:rPr>
                <w:sz w:val="16"/>
              </w:rPr>
              <w:t>Local rollout, rollback, release evidence, and acceptance</w:t>
            </w:r>
          </w:p>
        </w:tc>
      </w:tr>
    </w:tbl>
    <w:p/>
    <w:p>
      <w:pPr>
        <w:pStyle w:val="Heading1"/>
      </w:pPr>
      <w:r>
        <w:t>Requirement index</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Group</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IDs</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Primary section</w:t>
            </w:r>
          </w:p>
        </w:tc>
      </w:tr>
      <w:tr>
        <w:tc>
          <w:tcPr>
            <w:tcW w:type="dxa" w:w="2160"/>
            <w:shd w:fill="F8FAFC"/>
            <w:tcBorders>
              <w:top w:val="single" w:sz="3" w:color="D9E2EC"/>
              <w:left w:val="single" w:sz="3" w:color="D9E2EC"/>
              <w:bottom w:val="single" w:sz="3" w:color="D9E2EC"/>
              <w:right w:val="single" w:sz="3" w:color="D9E2EC"/>
            </w:tcBorders>
          </w:tcPr>
          <w:p>
            <w:pPr>
              <w:spacing w:after="20"/>
            </w:pPr>
            <w:r>
              <w:rPr>
                <w:sz w:val="16"/>
              </w:rPr>
              <w:t>Functional</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FR-001 to FR-009</w:t>
            </w:r>
          </w:p>
        </w:tc>
        <w:tc>
          <w:tcPr>
            <w:tcW w:type="dxa" w:w="4032"/>
            <w:shd w:fill="F8FAFC"/>
            <w:tcBorders>
              <w:top w:val="single" w:sz="3" w:color="D9E2EC"/>
              <w:left w:val="single" w:sz="3" w:color="D9E2EC"/>
              <w:bottom w:val="single" w:sz="3" w:color="D9E2EC"/>
              <w:right w:val="single" w:sz="3" w:color="D9E2EC"/>
            </w:tcBorders>
          </w:tcPr>
          <w:p>
            <w:pPr>
              <w:spacing w:after="20"/>
            </w:pPr>
            <w:r>
              <w:rPr>
                <w:sz w:val="16"/>
              </w:rPr>
              <w:t>02 and 05</w:t>
            </w:r>
          </w:p>
        </w:tc>
      </w:tr>
      <w:tr>
        <w:tc>
          <w:tcPr>
            <w:tcW w:type="dxa" w:w="2160"/>
            <w:tcBorders>
              <w:top w:val="single" w:sz="3" w:color="D9E2EC"/>
              <w:left w:val="single" w:sz="3" w:color="D9E2EC"/>
              <w:bottom w:val="single" w:sz="3" w:color="D9E2EC"/>
              <w:right w:val="single" w:sz="3" w:color="D9E2EC"/>
            </w:tcBorders>
          </w:tcPr>
          <w:p>
            <w:pPr>
              <w:spacing w:after="20"/>
            </w:pPr>
            <w:r>
              <w:rPr>
                <w:sz w:val="16"/>
              </w:rPr>
              <w:t>Business rules</w:t>
            </w:r>
          </w:p>
        </w:tc>
        <w:tc>
          <w:tcPr>
            <w:tcW w:type="dxa" w:w="3456"/>
            <w:tcBorders>
              <w:top w:val="single" w:sz="3" w:color="D9E2EC"/>
              <w:left w:val="single" w:sz="3" w:color="D9E2EC"/>
              <w:bottom w:val="single" w:sz="3" w:color="D9E2EC"/>
              <w:right w:val="single" w:sz="3" w:color="D9E2EC"/>
            </w:tcBorders>
          </w:tcPr>
          <w:p>
            <w:pPr>
              <w:spacing w:after="20"/>
            </w:pPr>
            <w:r>
              <w:rPr>
                <w:sz w:val="16"/>
              </w:rPr>
              <w:t>BR-001 to BR-012</w:t>
            </w:r>
          </w:p>
        </w:tc>
        <w:tc>
          <w:tcPr>
            <w:tcW w:type="dxa" w:w="4032"/>
            <w:tcBorders>
              <w:top w:val="single" w:sz="3" w:color="D9E2EC"/>
              <w:left w:val="single" w:sz="3" w:color="D9E2EC"/>
              <w:bottom w:val="single" w:sz="3" w:color="D9E2EC"/>
              <w:right w:val="single" w:sz="3" w:color="D9E2EC"/>
            </w:tcBorders>
          </w:tcPr>
          <w:p>
            <w:pPr>
              <w:spacing w:after="20"/>
            </w:pPr>
            <w:r>
              <w:rPr>
                <w:sz w:val="16"/>
              </w:rPr>
              <w:t>02 and 04</w:t>
            </w:r>
          </w:p>
        </w:tc>
      </w:tr>
      <w:tr>
        <w:tc>
          <w:tcPr>
            <w:tcW w:type="dxa" w:w="2160"/>
            <w:shd w:fill="F8FAFC"/>
            <w:tcBorders>
              <w:top w:val="single" w:sz="3" w:color="D9E2EC"/>
              <w:left w:val="single" w:sz="3" w:color="D9E2EC"/>
              <w:bottom w:val="single" w:sz="3" w:color="D9E2EC"/>
              <w:right w:val="single" w:sz="3" w:color="D9E2EC"/>
            </w:tcBorders>
          </w:tcPr>
          <w:p>
            <w:pPr>
              <w:spacing w:after="20"/>
            </w:pPr>
            <w:r>
              <w:rPr>
                <w:sz w:val="16"/>
              </w:rPr>
              <w:t>Data</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DATA-001 to DATA-008</w:t>
            </w:r>
          </w:p>
        </w:tc>
        <w:tc>
          <w:tcPr>
            <w:tcW w:type="dxa" w:w="4032"/>
            <w:shd w:fill="F8FAFC"/>
            <w:tcBorders>
              <w:top w:val="single" w:sz="3" w:color="D9E2EC"/>
              <w:left w:val="single" w:sz="3" w:color="D9E2EC"/>
              <w:bottom w:val="single" w:sz="3" w:color="D9E2EC"/>
              <w:right w:val="single" w:sz="3" w:color="D9E2EC"/>
            </w:tcBorders>
          </w:tcPr>
          <w:p>
            <w:pPr>
              <w:spacing w:after="20"/>
            </w:pPr>
            <w:r>
              <w:rPr>
                <w:sz w:val="16"/>
              </w:rPr>
              <w:t>03 and 04</w:t>
            </w:r>
          </w:p>
        </w:tc>
      </w:tr>
      <w:tr>
        <w:tc>
          <w:tcPr>
            <w:tcW w:type="dxa" w:w="2160"/>
            <w:tcBorders>
              <w:top w:val="single" w:sz="3" w:color="D9E2EC"/>
              <w:left w:val="single" w:sz="3" w:color="D9E2EC"/>
              <w:bottom w:val="single" w:sz="3" w:color="D9E2EC"/>
              <w:right w:val="single" w:sz="3" w:color="D9E2EC"/>
            </w:tcBorders>
          </w:tcPr>
          <w:p>
            <w:pPr>
              <w:spacing w:after="20"/>
            </w:pPr>
            <w:r>
              <w:rPr>
                <w:sz w:val="16"/>
              </w:rPr>
              <w:t>Permissions and security</w:t>
            </w:r>
          </w:p>
        </w:tc>
        <w:tc>
          <w:tcPr>
            <w:tcW w:type="dxa" w:w="3456"/>
            <w:tcBorders>
              <w:top w:val="single" w:sz="3" w:color="D9E2EC"/>
              <w:left w:val="single" w:sz="3" w:color="D9E2EC"/>
              <w:bottom w:val="single" w:sz="3" w:color="D9E2EC"/>
              <w:right w:val="single" w:sz="3" w:color="D9E2EC"/>
            </w:tcBorders>
          </w:tcPr>
          <w:p>
            <w:pPr>
              <w:spacing w:after="20"/>
            </w:pPr>
            <w:r>
              <w:rPr>
                <w:sz w:val="16"/>
              </w:rPr>
              <w:t>PERM-001 to PERM-007 and SEC-001 to SEC-010</w:t>
            </w:r>
          </w:p>
        </w:tc>
        <w:tc>
          <w:tcPr>
            <w:tcW w:type="dxa" w:w="4032"/>
            <w:tcBorders>
              <w:top w:val="single" w:sz="3" w:color="D9E2EC"/>
              <w:left w:val="single" w:sz="3" w:color="D9E2EC"/>
              <w:bottom w:val="single" w:sz="3" w:color="D9E2EC"/>
              <w:right w:val="single" w:sz="3" w:color="D9E2EC"/>
            </w:tcBorders>
          </w:tcPr>
          <w:p>
            <w:pPr>
              <w:spacing w:after="20"/>
            </w:pPr>
            <w:r>
              <w:rPr>
                <w:sz w:val="16"/>
              </w:rPr>
              <w:t>05 and 07</w:t>
            </w:r>
          </w:p>
        </w:tc>
      </w:tr>
      <w:tr>
        <w:tc>
          <w:tcPr>
            <w:tcW w:type="dxa" w:w="2160"/>
            <w:shd w:fill="F8FAFC"/>
            <w:tcBorders>
              <w:top w:val="single" w:sz="3" w:color="D9E2EC"/>
              <w:left w:val="single" w:sz="3" w:color="D9E2EC"/>
              <w:bottom w:val="single" w:sz="3" w:color="D9E2EC"/>
              <w:right w:val="single" w:sz="3" w:color="D9E2EC"/>
            </w:tcBorders>
          </w:tcPr>
          <w:p>
            <w:pPr>
              <w:spacing w:after="20"/>
            </w:pPr>
            <w:r>
              <w:rPr>
                <w:sz w:val="16"/>
              </w:rPr>
              <w:t>Reporting and audit</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REP-001 to REP-007 and AUD-001 to AUD-005</w:t>
            </w:r>
          </w:p>
        </w:tc>
        <w:tc>
          <w:tcPr>
            <w:tcW w:type="dxa" w:w="4032"/>
            <w:shd w:fill="F8FAFC"/>
            <w:tcBorders>
              <w:top w:val="single" w:sz="3" w:color="D9E2EC"/>
              <w:left w:val="single" w:sz="3" w:color="D9E2EC"/>
              <w:bottom w:val="single" w:sz="3" w:color="D9E2EC"/>
              <w:right w:val="single" w:sz="3" w:color="D9E2EC"/>
            </w:tcBorders>
          </w:tcPr>
          <w:p>
            <w:pPr>
              <w:spacing w:after="20"/>
            </w:pPr>
            <w:r>
              <w:rPr>
                <w:sz w:val="16"/>
              </w:rPr>
              <w:t>06</w:t>
            </w:r>
          </w:p>
        </w:tc>
      </w:tr>
      <w:tr>
        <w:tc>
          <w:tcPr>
            <w:tcW w:type="dxa" w:w="2160"/>
            <w:tcBorders>
              <w:top w:val="single" w:sz="3" w:color="D9E2EC"/>
              <w:left w:val="single" w:sz="3" w:color="D9E2EC"/>
              <w:bottom w:val="single" w:sz="3" w:color="D9E2EC"/>
              <w:right w:val="single" w:sz="3" w:color="D9E2EC"/>
            </w:tcBorders>
          </w:tcPr>
          <w:p>
            <w:pPr>
              <w:spacing w:after="20"/>
            </w:pPr>
            <w:r>
              <w:rPr>
                <w:sz w:val="16"/>
              </w:rPr>
              <w:t>Migration and operations</w:t>
            </w:r>
          </w:p>
        </w:tc>
        <w:tc>
          <w:tcPr>
            <w:tcW w:type="dxa" w:w="3456"/>
            <w:tcBorders>
              <w:top w:val="single" w:sz="3" w:color="D9E2EC"/>
              <w:left w:val="single" w:sz="3" w:color="D9E2EC"/>
              <w:bottom w:val="single" w:sz="3" w:color="D9E2EC"/>
              <w:right w:val="single" w:sz="3" w:color="D9E2EC"/>
            </w:tcBorders>
          </w:tcPr>
          <w:p>
            <w:pPr>
              <w:spacing w:after="20"/>
            </w:pPr>
            <w:r>
              <w:rPr>
                <w:sz w:val="16"/>
              </w:rPr>
              <w:t>MIG-001 to MIG-005 and OPS-001 to OPS-006</w:t>
            </w:r>
          </w:p>
        </w:tc>
        <w:tc>
          <w:tcPr>
            <w:tcW w:type="dxa" w:w="4032"/>
            <w:tcBorders>
              <w:top w:val="single" w:sz="3" w:color="D9E2EC"/>
              <w:left w:val="single" w:sz="3" w:color="D9E2EC"/>
              <w:bottom w:val="single" w:sz="3" w:color="D9E2EC"/>
              <w:right w:val="single" w:sz="3" w:color="D9E2EC"/>
            </w:tcBorders>
          </w:tcPr>
          <w:p>
            <w:pPr>
              <w:spacing w:after="20"/>
            </w:pPr>
            <w:r>
              <w:rPr>
                <w:sz w:val="16"/>
              </w:rPr>
              <w:t>04 and 09</w:t>
            </w:r>
          </w:p>
        </w:tc>
      </w:tr>
      <w:tr>
        <w:tc>
          <w:tcPr>
            <w:tcW w:type="dxa" w:w="2160"/>
            <w:shd w:fill="F8FAFC"/>
            <w:tcBorders>
              <w:top w:val="single" w:sz="3" w:color="D9E2EC"/>
              <w:left w:val="single" w:sz="3" w:color="D9E2EC"/>
              <w:bottom w:val="single" w:sz="3" w:color="D9E2EC"/>
              <w:right w:val="single" w:sz="3" w:color="D9E2EC"/>
            </w:tcBorders>
          </w:tcPr>
          <w:p>
            <w:pPr>
              <w:spacing w:after="20"/>
            </w:pPr>
            <w:r>
              <w:rPr>
                <w:sz w:val="16"/>
              </w:rPr>
              <w:t>Non-functional</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NFR-001 to NFR-006</w:t>
            </w:r>
          </w:p>
        </w:tc>
        <w:tc>
          <w:tcPr>
            <w:tcW w:type="dxa" w:w="4032"/>
            <w:shd w:fill="F8FAFC"/>
            <w:tcBorders>
              <w:top w:val="single" w:sz="3" w:color="D9E2EC"/>
              <w:left w:val="single" w:sz="3" w:color="D9E2EC"/>
              <w:bottom w:val="single" w:sz="3" w:color="D9E2EC"/>
              <w:right w:val="single" w:sz="3" w:color="D9E2EC"/>
            </w:tcBorders>
          </w:tcPr>
          <w:p>
            <w:pPr>
              <w:spacing w:after="20"/>
            </w:pPr>
            <w:r>
              <w:rPr>
                <w:sz w:val="16"/>
              </w:rPr>
              <w:t>02 and 07</w:t>
            </w:r>
          </w:p>
        </w:tc>
      </w:tr>
    </w:tbl>
    <w:p/>
    <w:p>
      <w:pPr>
        <w:pStyle w:val="Heading1"/>
      </w:pPr>
      <w:r>
        <w:t>Business rule and architecture index</w:t>
      </w:r>
    </w:p>
    <w:p>
      <w:pPr>
        <w:pStyle w:val="ListBullet"/>
      </w:pPr>
      <w:r>
        <w:t>BR-001 selects actual provider financial data before reconciled data, exact payment-method fallback, and manual review.</w:t>
      </w:r>
    </w:p>
    <w:p>
      <w:pPr>
        <w:pStyle w:val="ListBullet"/>
      </w:pPr>
      <w:r>
        <w:t>BR-002 makes a fallback visibly estimated and prevents it from being presented as an actual provider fee.</w:t>
      </w:r>
    </w:p>
    <w:p>
      <w:pPr>
        <w:pStyle w:val="ListBullet"/>
      </w:pPr>
      <w:r>
        <w:t>BR-003 applies policy versions forward only; historical transactions keep their original policy snapshot.</w:t>
      </w:r>
    </w:p>
    <w:p>
      <w:pPr>
        <w:pStyle w:val="ListBullet"/>
      </w:pPr>
      <w:r>
        <w:t>BR-004 prevents the Owner from changing DGFY platform rate, fee payer, settlement, payout, or automatic-payout controls.</w:t>
      </w:r>
    </w:p>
    <w:p>
      <w:pPr>
        <w:pStyle w:val="ListBullet"/>
      </w:pPr>
      <w:r>
        <w:t>BR-005 leaves customer totals, POS cashier payments, service charges, delivery fees, and receipt pricing unchanged.</w:t>
      </w:r>
    </w:p>
    <w:p>
      <w:pPr>
        <w:pStyle w:val="ListBullet"/>
      </w:pPr>
      <w:r>
        <w:t>ADR-001 requires an amendment to ADR 0052 for Owner fallback-policy authority; ADR 0012 remains unchanged because this is not a customer-facing fee.</w:t>
      </w:r>
    </w:p>
    <w:p>
      <w:pPr>
        <w:pStyle w:val="ListBullet"/>
      </w:pPr>
      <w:r>
        <w:t>ADR-002 follows ADR 0087 and uses OPIS as the Back Office target; IMS is explicitly unchanged.</w:t>
      </w:r>
    </w:p>
    <w:p>
      <w:pPr>
        <w:pStyle w:val="Heading1"/>
      </w:pPr>
      <w:r>
        <w:t>Open decisions before implementation</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Decision</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Recommended answer</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Why it matters</w:t>
            </w:r>
          </w:p>
        </w:tc>
      </w:tr>
      <w:tr>
        <w:tc>
          <w:tcPr>
            <w:tcW w:type="dxa" w:w="2304"/>
            <w:shd w:fill="F8FAFC"/>
            <w:tcBorders>
              <w:top w:val="single" w:sz="3" w:color="D9E2EC"/>
              <w:left w:val="single" w:sz="3" w:color="D9E2EC"/>
              <w:bottom w:val="single" w:sz="3" w:color="D9E2EC"/>
              <w:right w:val="single" w:sz="3" w:color="D9E2EC"/>
            </w:tcBorders>
          </w:tcPr>
          <w:p>
            <w:pPr>
              <w:spacing w:after="20"/>
            </w:pPr>
            <w:r>
              <w:rPr>
                <w:sz w:val="16"/>
              </w:rPr>
              <w:t>Meaning of processing fee</w:t>
            </w:r>
          </w:p>
        </w:tc>
        <w:tc>
          <w:tcPr>
            <w:tcW w:type="dxa" w:w="3888"/>
            <w:shd w:fill="F8FAFC"/>
            <w:tcBorders>
              <w:top w:val="single" w:sz="3" w:color="D9E2EC"/>
              <w:left w:val="single" w:sz="3" w:color="D9E2EC"/>
              <w:bottom w:val="single" w:sz="3" w:color="D9E2EC"/>
              <w:right w:val="single" w:sz="3" w:color="D9E2EC"/>
            </w:tcBorders>
          </w:tcPr>
          <w:p>
            <w:pPr>
              <w:spacing w:after="20"/>
            </w:pPr>
            <w:r>
              <w:rPr>
                <w:sz w:val="16"/>
              </w:rPr>
              <w:t>Provider fee or exact method-specific fallback</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Avoids conflict with retired customer convenience-fee pricing</w:t>
            </w:r>
          </w:p>
        </w:tc>
      </w:tr>
      <w:tr>
        <w:tc>
          <w:tcPr>
            <w:tcW w:type="dxa" w:w="2304"/>
            <w:tcBorders>
              <w:top w:val="single" w:sz="3" w:color="D9E2EC"/>
              <w:left w:val="single" w:sz="3" w:color="D9E2EC"/>
              <w:bottom w:val="single" w:sz="3" w:color="D9E2EC"/>
              <w:right w:val="single" w:sz="3" w:color="D9E2EC"/>
            </w:tcBorders>
          </w:tcPr>
          <w:p>
            <w:pPr>
              <w:spacing w:after="20"/>
            </w:pPr>
            <w:r>
              <w:rPr>
                <w:sz w:val="16"/>
              </w:rPr>
              <w:t>Who may edit</w:t>
            </w:r>
          </w:p>
        </w:tc>
        <w:tc>
          <w:tcPr>
            <w:tcW w:type="dxa" w:w="3888"/>
            <w:tcBorders>
              <w:top w:val="single" w:sz="3" w:color="D9E2EC"/>
              <w:left w:val="single" w:sz="3" w:color="D9E2EC"/>
              <w:bottom w:val="single" w:sz="3" w:color="D9E2EC"/>
              <w:right w:val="single" w:sz="3" w:color="D9E2EC"/>
            </w:tcBorders>
          </w:tcPr>
          <w:p>
            <w:pPr>
              <w:spacing w:after="20"/>
            </w:pPr>
            <w:r>
              <w:rPr>
                <w:sz w:val="16"/>
              </w:rPr>
              <w:t>Current tenant Owner with a dedicated fee-policy edit capability</w:t>
            </w:r>
          </w:p>
        </w:tc>
        <w:tc>
          <w:tcPr>
            <w:tcW w:type="dxa" w:w="3456"/>
            <w:tcBorders>
              <w:top w:val="single" w:sz="3" w:color="D9E2EC"/>
              <w:left w:val="single" w:sz="3" w:color="D9E2EC"/>
              <w:bottom w:val="single" w:sz="3" w:color="D9E2EC"/>
              <w:right w:val="single" w:sz="3" w:color="D9E2EC"/>
            </w:tcBorders>
          </w:tcPr>
          <w:p>
            <w:pPr>
              <w:spacing w:after="20"/>
            </w:pPr>
            <w:r>
              <w:rPr>
                <w:sz w:val="16"/>
              </w:rPr>
              <w:t>Financial policy mutation needs narrower authority than generic settings edit</w:t>
            </w:r>
          </w:p>
        </w:tc>
      </w:tr>
      <w:tr>
        <w:tc>
          <w:tcPr>
            <w:tcW w:type="dxa" w:w="2304"/>
            <w:shd w:fill="F8FAFC"/>
            <w:tcBorders>
              <w:top w:val="single" w:sz="3" w:color="D9E2EC"/>
              <w:left w:val="single" w:sz="3" w:color="D9E2EC"/>
              <w:bottom w:val="single" w:sz="3" w:color="D9E2EC"/>
              <w:right w:val="single" w:sz="3" w:color="D9E2EC"/>
            </w:tcBorders>
          </w:tcPr>
          <w:p>
            <w:pPr>
              <w:spacing w:after="20"/>
            </w:pPr>
            <w:r>
              <w:rPr>
                <w:sz w:val="16"/>
              </w:rPr>
              <w:t>Fallback settlement state</w:t>
            </w:r>
          </w:p>
        </w:tc>
        <w:tc>
          <w:tcPr>
            <w:tcW w:type="dxa" w:w="3888"/>
            <w:shd w:fill="F8FAFC"/>
            <w:tcBorders>
              <w:top w:val="single" w:sz="3" w:color="D9E2EC"/>
              <w:left w:val="single" w:sz="3" w:color="D9E2EC"/>
              <w:bottom w:val="single" w:sz="3" w:color="D9E2EC"/>
              <w:right w:val="single" w:sz="3" w:color="D9E2EC"/>
            </w:tcBorders>
          </w:tcPr>
          <w:p>
            <w:pPr>
              <w:spacing w:after="20"/>
            </w:pPr>
            <w:r>
              <w:rPr>
                <w:sz w:val="16"/>
              </w:rPr>
              <w:t>Estimated fallback remains on hold or exception until actual or reconciled data is available</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Prevents estimated money from being treated as final</w:t>
            </w:r>
          </w:p>
        </w:tc>
      </w:tr>
      <w:tr>
        <w:tc>
          <w:tcPr>
            <w:tcW w:type="dxa" w:w="2304"/>
            <w:tcBorders>
              <w:top w:val="single" w:sz="3" w:color="D9E2EC"/>
              <w:left w:val="single" w:sz="3" w:color="D9E2EC"/>
              <w:bottom w:val="single" w:sz="3" w:color="D9E2EC"/>
              <w:right w:val="single" w:sz="3" w:color="D9E2EC"/>
            </w:tcBorders>
          </w:tcPr>
          <w:p>
            <w:pPr>
              <w:spacing w:after="20"/>
            </w:pPr>
            <w:r>
              <w:rPr>
                <w:sz w:val="16"/>
              </w:rPr>
              <w:t>Initial policy</w:t>
            </w:r>
          </w:p>
        </w:tc>
        <w:tc>
          <w:tcPr>
            <w:tcW w:type="dxa" w:w="3888"/>
            <w:tcBorders>
              <w:top w:val="single" w:sz="3" w:color="D9E2EC"/>
              <w:left w:val="single" w:sz="3" w:color="D9E2EC"/>
              <w:bottom w:val="single" w:sz="3" w:color="D9E2EC"/>
              <w:right w:val="single" w:sz="3" w:color="D9E2EC"/>
            </w:tcBorders>
          </w:tcPr>
          <w:p>
            <w:pPr>
              <w:spacing w:after="20"/>
            </w:pPr>
            <w:r>
              <w:rPr>
                <w:sz w:val="16"/>
              </w:rPr>
              <w:t>Platform finance publishes the first on-hold policy; Owner edits fallback fields only</w:t>
            </w:r>
          </w:p>
        </w:tc>
        <w:tc>
          <w:tcPr>
            <w:tcW w:type="dxa" w:w="3456"/>
            <w:tcBorders>
              <w:top w:val="single" w:sz="3" w:color="D9E2EC"/>
              <w:left w:val="single" w:sz="3" w:color="D9E2EC"/>
              <w:bottom w:val="single" w:sz="3" w:color="D9E2EC"/>
              <w:right w:val="single" w:sz="3" w:color="D9E2EC"/>
            </w:tcBorders>
          </w:tcPr>
          <w:p>
            <w:pPr>
              <w:spacing w:after="20"/>
            </w:pPr>
            <w:r>
              <w:rPr>
                <w:sz w:val="16"/>
              </w:rPr>
              <w:t>Avoids tenant creation of an uncontrolled platform settlement policy</w:t>
            </w:r>
          </w:p>
        </w:tc>
      </w:tr>
    </w:tbl>
    <w:p/>
    <w:p>
      <w:pPr>
        <w:pStyle w:val="Heading1"/>
      </w:pPr>
      <w:r>
        <w:t>Governing sources</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Source</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Evidence or decision</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Use in plan</w:t>
            </w:r>
          </w:p>
        </w:tc>
      </w:tr>
      <w:tr>
        <w:tc>
          <w:tcPr>
            <w:tcW w:type="dxa" w:w="3456"/>
            <w:shd w:fill="F8FAFC"/>
            <w:tcBorders>
              <w:top w:val="single" w:sz="3" w:color="D9E2EC"/>
              <w:left w:val="single" w:sz="3" w:color="D9E2EC"/>
              <w:bottom w:val="single" w:sz="3" w:color="D9E2EC"/>
              <w:right w:val="single" w:sz="3" w:color="D9E2EC"/>
            </w:tcBorders>
          </w:tcPr>
          <w:p>
            <w:pPr>
              <w:spacing w:after="20"/>
            </w:pPr>
            <w:r>
              <w:rPr>
                <w:sz w:val="16"/>
              </w:rPr>
              <w:t>docs/START_HERE.md</w:t>
            </w:r>
          </w:p>
        </w:tc>
        <w:tc>
          <w:tcPr>
            <w:tcW w:type="dxa" w:w="3888"/>
            <w:shd w:fill="F8FAFC"/>
            <w:tcBorders>
              <w:top w:val="single" w:sz="3" w:color="D9E2EC"/>
              <w:left w:val="single" w:sz="3" w:color="D9E2EC"/>
              <w:bottom w:val="single" w:sz="3" w:color="D9E2EC"/>
              <w:right w:val="single" w:sz="3" w:color="D9E2EC"/>
            </w:tcBorders>
          </w:tcPr>
          <w:p>
            <w:pPr>
              <w:spacing w:after="20"/>
            </w:pPr>
            <w:r>
              <w:rPr>
                <w:sz w:val="16"/>
              </w:rPr>
              <w:t>Mandatory documentation lookup and architecture checks.</w:t>
            </w:r>
          </w:p>
        </w:tc>
        <w:tc>
          <w:tcPr>
            <w:tcW w:type="dxa" w:w="1944"/>
            <w:shd w:fill="F8FAFC"/>
            <w:tcBorders>
              <w:top w:val="single" w:sz="3" w:color="D9E2EC"/>
              <w:left w:val="single" w:sz="3" w:color="D9E2EC"/>
              <w:bottom w:val="single" w:sz="3" w:color="D9E2EC"/>
              <w:right w:val="single" w:sz="3" w:color="D9E2EC"/>
            </w:tcBorders>
          </w:tcPr>
          <w:p>
            <w:pPr>
              <w:spacing w:after="20"/>
            </w:pPr>
            <w:r>
              <w:rPr>
                <w:sz w:val="16"/>
              </w:rPr>
              <w:t>Plan method and validation</w:t>
            </w:r>
          </w:p>
        </w:tc>
      </w:tr>
      <w:tr>
        <w:tc>
          <w:tcPr>
            <w:tcW w:type="dxa" w:w="3456"/>
            <w:tcBorders>
              <w:top w:val="single" w:sz="3" w:color="D9E2EC"/>
              <w:left w:val="single" w:sz="3" w:color="D9E2EC"/>
              <w:bottom w:val="single" w:sz="3" w:color="D9E2EC"/>
              <w:right w:val="single" w:sz="3" w:color="D9E2EC"/>
            </w:tcBorders>
          </w:tcPr>
          <w:p>
            <w:pPr>
              <w:spacing w:after="20"/>
            </w:pPr>
            <w:r>
              <w:rPr>
                <w:sz w:val="16"/>
              </w:rPr>
              <w:t>docs/architecture/ARCHITECTURE_BOUNDARIES.md</w:t>
            </w:r>
          </w:p>
        </w:tc>
        <w:tc>
          <w:tcPr>
            <w:tcW w:type="dxa" w:w="3888"/>
            <w:tcBorders>
              <w:top w:val="single" w:sz="3" w:color="D9E2EC"/>
              <w:left w:val="single" w:sz="3" w:color="D9E2EC"/>
              <w:bottom w:val="single" w:sz="3" w:color="D9E2EC"/>
              <w:right w:val="single" w:sz="3" w:color="D9E2EC"/>
            </w:tcBorders>
          </w:tcPr>
          <w:p>
            <w:pPr>
              <w:spacing w:after="20"/>
            </w:pPr>
            <w:r>
              <w:rPr>
                <w:sz w:val="16"/>
              </w:rPr>
              <w:t>Routes to controllers to use cases to repositories to models.</w:t>
            </w:r>
          </w:p>
        </w:tc>
        <w:tc>
          <w:tcPr>
            <w:tcW w:type="dxa" w:w="1944"/>
            <w:tcBorders>
              <w:top w:val="single" w:sz="3" w:color="D9E2EC"/>
              <w:left w:val="single" w:sz="3" w:color="D9E2EC"/>
              <w:bottom w:val="single" w:sz="3" w:color="D9E2EC"/>
              <w:right w:val="single" w:sz="3" w:color="D9E2EC"/>
            </w:tcBorders>
          </w:tcPr>
          <w:p>
            <w:pPr>
              <w:spacing w:after="20"/>
            </w:pPr>
            <w:r>
              <w:rPr>
                <w:sz w:val="16"/>
              </w:rPr>
              <w:t>Backend design</w:t>
            </w:r>
          </w:p>
        </w:tc>
      </w:tr>
      <w:tr>
        <w:tc>
          <w:tcPr>
            <w:tcW w:type="dxa" w:w="3456"/>
            <w:shd w:fill="F8FAFC"/>
            <w:tcBorders>
              <w:top w:val="single" w:sz="3" w:color="D9E2EC"/>
              <w:left w:val="single" w:sz="3" w:color="D9E2EC"/>
              <w:bottom w:val="single" w:sz="3" w:color="D9E2EC"/>
              <w:right w:val="single" w:sz="3" w:color="D9E2EC"/>
            </w:tcBorders>
          </w:tcPr>
          <w:p>
            <w:pPr>
              <w:spacing w:after="20"/>
            </w:pPr>
            <w:r>
              <w:rPr>
                <w:sz w:val="16"/>
              </w:rPr>
              <w:t>docs/architecture/ARCHITECTURE_GOVERNANCE.md</w:t>
            </w:r>
          </w:p>
        </w:tc>
        <w:tc>
          <w:tcPr>
            <w:tcW w:type="dxa" w:w="3888"/>
            <w:shd w:fill="F8FAFC"/>
            <w:tcBorders>
              <w:top w:val="single" w:sz="3" w:color="D9E2EC"/>
              <w:left w:val="single" w:sz="3" w:color="D9E2EC"/>
              <w:bottom w:val="single" w:sz="3" w:color="D9E2EC"/>
              <w:right w:val="single" w:sz="3" w:color="D9E2EC"/>
            </w:tcBorders>
          </w:tcPr>
          <w:p>
            <w:pPr>
              <w:spacing w:after="20"/>
            </w:pPr>
            <w:r>
              <w:rPr>
                <w:sz w:val="16"/>
              </w:rPr>
              <w:t>Financial and checkout changes require hardening, tests, audit, and rollback.</w:t>
            </w:r>
          </w:p>
        </w:tc>
        <w:tc>
          <w:tcPr>
            <w:tcW w:type="dxa" w:w="1944"/>
            <w:shd w:fill="F8FAFC"/>
            <w:tcBorders>
              <w:top w:val="single" w:sz="3" w:color="D9E2EC"/>
              <w:left w:val="single" w:sz="3" w:color="D9E2EC"/>
              <w:bottom w:val="single" w:sz="3" w:color="D9E2EC"/>
              <w:right w:val="single" w:sz="3" w:color="D9E2EC"/>
            </w:tcBorders>
          </w:tcPr>
          <w:p>
            <w:pPr>
              <w:spacing w:after="20"/>
            </w:pPr>
            <w:r>
              <w:rPr>
                <w:sz w:val="16"/>
              </w:rPr>
              <w:t>Governance and release</w:t>
            </w:r>
          </w:p>
        </w:tc>
      </w:tr>
      <w:tr>
        <w:tc>
          <w:tcPr>
            <w:tcW w:type="dxa" w:w="3456"/>
            <w:tcBorders>
              <w:top w:val="single" w:sz="3" w:color="D9E2EC"/>
              <w:left w:val="single" w:sz="3" w:color="D9E2EC"/>
              <w:bottom w:val="single" w:sz="3" w:color="D9E2EC"/>
              <w:right w:val="single" w:sz="3" w:color="D9E2EC"/>
            </w:tcBorders>
          </w:tcPr>
          <w:p>
            <w:pPr>
              <w:spacing w:after="20"/>
            </w:pPr>
            <w:r>
              <w:rPr>
                <w:sz w:val="16"/>
              </w:rPr>
              <w:t>ADR 0052</w:t>
            </w:r>
          </w:p>
        </w:tc>
        <w:tc>
          <w:tcPr>
            <w:tcW w:type="dxa" w:w="3888"/>
            <w:tcBorders>
              <w:top w:val="single" w:sz="3" w:color="D9E2EC"/>
              <w:left w:val="single" w:sz="3" w:color="D9E2EC"/>
              <w:bottom w:val="single" w:sz="3" w:color="D9E2EC"/>
              <w:right w:val="single" w:sz="3" w:color="D9E2EC"/>
            </w:tcBorders>
          </w:tcPr>
          <w:p>
            <w:pPr>
              <w:spacing w:after="20"/>
            </w:pPr>
            <w:r>
              <w:rPr>
                <w:sz w:val="16"/>
              </w:rPr>
              <w:t>Versioned provider fee policy, integer centavos, immutable ledger, provider priority, tenant read boundary.</w:t>
            </w:r>
          </w:p>
        </w:tc>
        <w:tc>
          <w:tcPr>
            <w:tcW w:type="dxa" w:w="1944"/>
            <w:tcBorders>
              <w:top w:val="single" w:sz="3" w:color="D9E2EC"/>
              <w:left w:val="single" w:sz="3" w:color="D9E2EC"/>
              <w:bottom w:val="single" w:sz="3" w:color="D9E2EC"/>
              <w:right w:val="single" w:sz="3" w:color="D9E2EC"/>
            </w:tcBorders>
          </w:tcPr>
          <w:p>
            <w:pPr>
              <w:spacing w:after="20"/>
            </w:pPr>
            <w:r>
              <w:rPr>
                <w:sz w:val="16"/>
              </w:rPr>
              <w:t>Primary financial design</w:t>
            </w:r>
          </w:p>
        </w:tc>
      </w:tr>
      <w:tr>
        <w:tc>
          <w:tcPr>
            <w:tcW w:type="dxa" w:w="3456"/>
            <w:shd w:fill="F8FAFC"/>
            <w:tcBorders>
              <w:top w:val="single" w:sz="3" w:color="D9E2EC"/>
              <w:left w:val="single" w:sz="3" w:color="D9E2EC"/>
              <w:bottom w:val="single" w:sz="3" w:color="D9E2EC"/>
              <w:right w:val="single" w:sz="3" w:color="D9E2EC"/>
            </w:tcBorders>
          </w:tcPr>
          <w:p>
            <w:pPr>
              <w:spacing w:after="20"/>
            </w:pPr>
            <w:r>
              <w:rPr>
                <w:sz w:val="16"/>
              </w:rPr>
              <w:t>ADR 0012</w:t>
            </w:r>
          </w:p>
        </w:tc>
        <w:tc>
          <w:tcPr>
            <w:tcW w:type="dxa" w:w="3888"/>
            <w:shd w:fill="F8FAFC"/>
            <w:tcBorders>
              <w:top w:val="single" w:sz="3" w:color="D9E2EC"/>
              <w:left w:val="single" w:sz="3" w:color="D9E2EC"/>
              <w:bottom w:val="single" w:sz="3" w:color="D9E2EC"/>
              <w:right w:val="single" w:sz="3" w:color="D9E2EC"/>
            </w:tcBorders>
          </w:tcPr>
          <w:p>
            <w:pPr>
              <w:spacing w:after="20"/>
            </w:pPr>
            <w:r>
              <w:rPr>
                <w:sz w:val="16"/>
              </w:rPr>
              <w:t>Customer convenience fee retired; future pricing customization requires governance.</w:t>
            </w:r>
          </w:p>
        </w:tc>
        <w:tc>
          <w:tcPr>
            <w:tcW w:type="dxa" w:w="1944"/>
            <w:shd w:fill="F8FAFC"/>
            <w:tcBorders>
              <w:top w:val="single" w:sz="3" w:color="D9E2EC"/>
              <w:left w:val="single" w:sz="3" w:color="D9E2EC"/>
              <w:bottom w:val="single" w:sz="3" w:color="D9E2EC"/>
              <w:right w:val="single" w:sz="3" w:color="D9E2EC"/>
            </w:tcBorders>
          </w:tcPr>
          <w:p>
            <w:pPr>
              <w:spacing w:after="20"/>
            </w:pPr>
            <w:r>
              <w:rPr>
                <w:sz w:val="16"/>
              </w:rPr>
              <w:t>Explicit non-goal</w:t>
            </w:r>
          </w:p>
        </w:tc>
      </w:tr>
      <w:tr>
        <w:tc>
          <w:tcPr>
            <w:tcW w:type="dxa" w:w="3456"/>
            <w:tcBorders>
              <w:top w:val="single" w:sz="3" w:color="D9E2EC"/>
              <w:left w:val="single" w:sz="3" w:color="D9E2EC"/>
              <w:bottom w:val="single" w:sz="3" w:color="D9E2EC"/>
              <w:right w:val="single" w:sz="3" w:color="D9E2EC"/>
            </w:tcBorders>
          </w:tcPr>
          <w:p>
            <w:pPr>
              <w:spacing w:after="20"/>
            </w:pPr>
            <w:r>
              <w:rPr>
                <w:sz w:val="16"/>
              </w:rPr>
              <w:t>ADR 0087</w:t>
            </w:r>
          </w:p>
        </w:tc>
        <w:tc>
          <w:tcPr>
            <w:tcW w:type="dxa" w:w="3888"/>
            <w:tcBorders>
              <w:top w:val="single" w:sz="3" w:color="D9E2EC"/>
              <w:left w:val="single" w:sz="3" w:color="D9E2EC"/>
              <w:bottom w:val="single" w:sz="3" w:color="D9E2EC"/>
              <w:right w:val="single" w:sz="3" w:color="D9E2EC"/>
            </w:tcBorders>
          </w:tcPr>
          <w:p>
            <w:pPr>
              <w:spacing w:after="20"/>
            </w:pPr>
            <w:r>
              <w:rPr>
                <w:sz w:val="16"/>
              </w:rPr>
              <w:t>OPIS is the dedicated Back Office fourth app.</w:t>
            </w:r>
          </w:p>
        </w:tc>
        <w:tc>
          <w:tcPr>
            <w:tcW w:type="dxa" w:w="1944"/>
            <w:tcBorders>
              <w:top w:val="single" w:sz="3" w:color="D9E2EC"/>
              <w:left w:val="single" w:sz="3" w:color="D9E2EC"/>
              <w:bottom w:val="single" w:sz="3" w:color="D9E2EC"/>
              <w:right w:val="single" w:sz="3" w:color="D9E2EC"/>
            </w:tcBorders>
          </w:tcPr>
          <w:p>
            <w:pPr>
              <w:spacing w:after="20"/>
            </w:pPr>
            <w:r>
              <w:rPr>
                <w:sz w:val="16"/>
              </w:rPr>
              <w:t>Frontend placement</w:t>
            </w:r>
          </w:p>
        </w:tc>
      </w:tr>
      <w:tr>
        <w:tc>
          <w:tcPr>
            <w:tcW w:type="dxa" w:w="3456"/>
            <w:shd w:fill="F8FAFC"/>
            <w:tcBorders>
              <w:top w:val="single" w:sz="3" w:color="D9E2EC"/>
              <w:left w:val="single" w:sz="3" w:color="D9E2EC"/>
              <w:bottom w:val="single" w:sz="3" w:color="D9E2EC"/>
              <w:right w:val="single" w:sz="3" w:color="D9E2EC"/>
            </w:tcBorders>
          </w:tcPr>
          <w:p>
            <w:pPr>
              <w:spacing w:after="20"/>
            </w:pPr>
            <w:r>
              <w:rPr>
                <w:sz w:val="16"/>
              </w:rPr>
              <w:t>docs/features/TENANT_REVENUE_SETTLEMENT.md</w:t>
            </w:r>
          </w:p>
        </w:tc>
        <w:tc>
          <w:tcPr>
            <w:tcW w:type="dxa" w:w="3888"/>
            <w:shd w:fill="F8FAFC"/>
            <w:tcBorders>
              <w:top w:val="single" w:sz="3" w:color="D9E2EC"/>
              <w:left w:val="single" w:sz="3" w:color="D9E2EC"/>
              <w:bottom w:val="single" w:sz="3" w:color="D9E2EC"/>
              <w:right w:val="single" w:sz="3" w:color="D9E2EC"/>
            </w:tcBorders>
          </w:tcPr>
          <w:p>
            <w:pPr>
              <w:spacing w:after="20"/>
            </w:pPr>
            <w:r>
              <w:rPr>
                <w:sz w:val="16"/>
              </w:rPr>
              <w:t>Provider fee priority, fallback policy JSON, tenant routes, and rollout controls.</w:t>
            </w:r>
          </w:p>
        </w:tc>
        <w:tc>
          <w:tcPr>
            <w:tcW w:type="dxa" w:w="1944"/>
            <w:shd w:fill="F8FAFC"/>
            <w:tcBorders>
              <w:top w:val="single" w:sz="3" w:color="D9E2EC"/>
              <w:left w:val="single" w:sz="3" w:color="D9E2EC"/>
              <w:bottom w:val="single" w:sz="3" w:color="D9E2EC"/>
              <w:right w:val="single" w:sz="3" w:color="D9E2EC"/>
            </w:tcBorders>
          </w:tcPr>
          <w:p>
            <w:pPr>
              <w:spacing w:after="20"/>
            </w:pPr>
            <w:r>
              <w:rPr>
                <w:sz w:val="16"/>
              </w:rPr>
              <w:t>Current contract</w:t>
            </w:r>
          </w:p>
        </w:tc>
      </w:tr>
      <w:tr>
        <w:tc>
          <w:tcPr>
            <w:tcW w:type="dxa" w:w="3456"/>
            <w:tcBorders>
              <w:top w:val="single" w:sz="3" w:color="D9E2EC"/>
              <w:left w:val="single" w:sz="3" w:color="D9E2EC"/>
              <w:bottom w:val="single" w:sz="3" w:color="D9E2EC"/>
              <w:right w:val="single" w:sz="3" w:color="D9E2EC"/>
            </w:tcBorders>
          </w:tcPr>
          <w:p>
            <w:pPr>
              <w:spacing w:after="20"/>
            </w:pPr>
            <w:r>
              <w:rPr>
                <w:sz w:val="16"/>
              </w:rPr>
              <w:t>docs/features/IMPLEMENTATION_PHASE_LEDGER.md</w:t>
            </w:r>
          </w:p>
        </w:tc>
        <w:tc>
          <w:tcPr>
            <w:tcW w:type="dxa" w:w="3888"/>
            <w:tcBorders>
              <w:top w:val="single" w:sz="3" w:color="D9E2EC"/>
              <w:left w:val="single" w:sz="3" w:color="D9E2EC"/>
              <w:bottom w:val="single" w:sz="3" w:color="D9E2EC"/>
              <w:right w:val="single" w:sz="3" w:color="D9E2EC"/>
            </w:tcBorders>
          </w:tcPr>
          <w:p>
            <w:pPr>
              <w:spacing w:after="20"/>
            </w:pPr>
            <w:r>
              <w:rPr>
                <w:sz w:val="16"/>
              </w:rPr>
              <w:t>Phase 473 is current; Phase 474 is next eligible.</w:t>
            </w:r>
          </w:p>
        </w:tc>
        <w:tc>
          <w:tcPr>
            <w:tcW w:type="dxa" w:w="1944"/>
            <w:tcBorders>
              <w:top w:val="single" w:sz="3" w:color="D9E2EC"/>
              <w:left w:val="single" w:sz="3" w:color="D9E2EC"/>
              <w:bottom w:val="single" w:sz="3" w:color="D9E2EC"/>
              <w:right w:val="single" w:sz="3" w:color="D9E2EC"/>
            </w:tcBorders>
          </w:tcPr>
          <w:p>
            <w:pPr>
              <w:spacing w:after="20"/>
            </w:pPr>
            <w:r>
              <w:rPr>
                <w:sz w:val="16"/>
              </w:rPr>
              <w:t>Continuous phase numbering</w:t>
            </w:r>
          </w:p>
        </w:tc>
      </w:tr>
    </w:tbl>
    <w:p/>
    <w:p>
      <w:pPr>
        <w:pStyle w:val="Heading1"/>
      </w:pPr>
      <w:r>
        <w:t>Risk index</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Risk</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Impact</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Control</w:t>
            </w:r>
          </w:p>
        </w:tc>
      </w:tr>
      <w:tr>
        <w:tc>
          <w:tcPr>
            <w:tcW w:type="dxa" w:w="3168"/>
            <w:shd w:fill="F8FAFC"/>
            <w:tcBorders>
              <w:top w:val="single" w:sz="3" w:color="D9E2EC"/>
              <w:left w:val="single" w:sz="3" w:color="D9E2EC"/>
              <w:bottom w:val="single" w:sz="3" w:color="D9E2EC"/>
              <w:right w:val="single" w:sz="3" w:color="D9E2EC"/>
            </w:tcBorders>
          </w:tcPr>
          <w:p>
            <w:pPr>
              <w:spacing w:after="20"/>
            </w:pPr>
            <w:r>
              <w:rPr>
                <w:sz w:val="16"/>
              </w:rPr>
              <w:t>Owner edits a platform settlement field</w:t>
            </w:r>
          </w:p>
        </w:tc>
        <w:tc>
          <w:tcPr>
            <w:tcW w:type="dxa" w:w="3024"/>
            <w:shd w:fill="F8FAFC"/>
            <w:tcBorders>
              <w:top w:val="single" w:sz="3" w:color="D9E2EC"/>
              <w:left w:val="single" w:sz="3" w:color="D9E2EC"/>
              <w:bottom w:val="single" w:sz="3" w:color="D9E2EC"/>
              <w:right w:val="single" w:sz="3" w:color="D9E2EC"/>
            </w:tcBorders>
          </w:tcPr>
          <w:p>
            <w:pPr>
              <w:spacing w:after="20"/>
            </w:pPr>
            <w:r>
              <w:rPr>
                <w:sz w:val="16"/>
              </w:rPr>
              <w:t>Incorrect payout or fee allocation</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Dedicated endpoint DTO, field allowlist, server-side owner authority</w:t>
            </w:r>
          </w:p>
        </w:tc>
      </w:tr>
      <w:tr>
        <w:tc>
          <w:tcPr>
            <w:tcW w:type="dxa" w:w="3168"/>
            <w:tcBorders>
              <w:top w:val="single" w:sz="3" w:color="D9E2EC"/>
              <w:left w:val="single" w:sz="3" w:color="D9E2EC"/>
              <w:bottom w:val="single" w:sz="3" w:color="D9E2EC"/>
              <w:right w:val="single" w:sz="3" w:color="D9E2EC"/>
            </w:tcBorders>
          </w:tcPr>
          <w:p>
            <w:pPr>
              <w:spacing w:after="20"/>
            </w:pPr>
            <w:r>
              <w:rPr>
                <w:sz w:val="16"/>
              </w:rPr>
              <w:t>Fallback is shown as actual</w:t>
            </w:r>
          </w:p>
        </w:tc>
        <w:tc>
          <w:tcPr>
            <w:tcW w:type="dxa" w:w="3024"/>
            <w:tcBorders>
              <w:top w:val="single" w:sz="3" w:color="D9E2EC"/>
              <w:left w:val="single" w:sz="3" w:color="D9E2EC"/>
              <w:bottom w:val="single" w:sz="3" w:color="D9E2EC"/>
              <w:right w:val="single" w:sz="3" w:color="D9E2EC"/>
            </w:tcBorders>
          </w:tcPr>
          <w:p>
            <w:pPr>
              <w:spacing w:after="20"/>
            </w:pPr>
            <w:r>
              <w:rPr>
                <w:sz w:val="16"/>
              </w:rPr>
              <w:t>Misleading financial reporting</w:t>
            </w:r>
          </w:p>
        </w:tc>
        <w:tc>
          <w:tcPr>
            <w:tcW w:type="dxa" w:w="3456"/>
            <w:tcBorders>
              <w:top w:val="single" w:sz="3" w:color="D9E2EC"/>
              <w:left w:val="single" w:sz="3" w:color="D9E2EC"/>
              <w:bottom w:val="single" w:sz="3" w:color="D9E2EC"/>
              <w:right w:val="single" w:sz="3" w:color="D9E2EC"/>
            </w:tcBorders>
          </w:tcPr>
          <w:p>
            <w:pPr>
              <w:spacing w:after="20"/>
            </w:pPr>
            <w:r>
              <w:rPr>
                <w:sz w:val="16"/>
              </w:rPr>
              <w:t>Source badge, estimated label, snapshot, reconciliation hold</w:t>
            </w:r>
          </w:p>
        </w:tc>
      </w:tr>
      <w:tr>
        <w:tc>
          <w:tcPr>
            <w:tcW w:type="dxa" w:w="3168"/>
            <w:shd w:fill="F8FAFC"/>
            <w:tcBorders>
              <w:top w:val="single" w:sz="3" w:color="D9E2EC"/>
              <w:left w:val="single" w:sz="3" w:color="D9E2EC"/>
              <w:bottom w:val="single" w:sz="3" w:color="D9E2EC"/>
              <w:right w:val="single" w:sz="3" w:color="D9E2EC"/>
            </w:tcBorders>
          </w:tcPr>
          <w:p>
            <w:pPr>
              <w:spacing w:after="20"/>
            </w:pPr>
            <w:r>
              <w:rPr>
                <w:sz w:val="16"/>
              </w:rPr>
              <w:t>Current policy changes historical transactions</w:t>
            </w:r>
          </w:p>
        </w:tc>
        <w:tc>
          <w:tcPr>
            <w:tcW w:type="dxa" w:w="3024"/>
            <w:shd w:fill="F8FAFC"/>
            <w:tcBorders>
              <w:top w:val="single" w:sz="3" w:color="D9E2EC"/>
              <w:left w:val="single" w:sz="3" w:color="D9E2EC"/>
              <w:bottom w:val="single" w:sz="3" w:color="D9E2EC"/>
              <w:right w:val="single" w:sz="3" w:color="D9E2EC"/>
            </w:tcBorders>
          </w:tcPr>
          <w:p>
            <w:pPr>
              <w:spacing w:after="20"/>
            </w:pPr>
            <w:r>
              <w:rPr>
                <w:sz w:val="16"/>
              </w:rPr>
              <w:t>Audit and payout mismatch</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Effective-dated immutable policy versions</w:t>
            </w:r>
          </w:p>
        </w:tc>
      </w:tr>
      <w:tr>
        <w:tc>
          <w:tcPr>
            <w:tcW w:type="dxa" w:w="3168"/>
            <w:tcBorders>
              <w:top w:val="single" w:sz="3" w:color="D9E2EC"/>
              <w:left w:val="single" w:sz="3" w:color="D9E2EC"/>
              <w:bottom w:val="single" w:sz="3" w:color="D9E2EC"/>
              <w:right w:val="single" w:sz="3" w:color="D9E2EC"/>
            </w:tcBorders>
          </w:tcPr>
          <w:p>
            <w:pPr>
              <w:spacing w:after="20"/>
            </w:pPr>
            <w:r>
              <w:rPr>
                <w:sz w:val="16"/>
              </w:rPr>
              <w:t>Customer fee is accidentally reintroduced</w:t>
            </w:r>
          </w:p>
        </w:tc>
        <w:tc>
          <w:tcPr>
            <w:tcW w:type="dxa" w:w="3024"/>
            <w:tcBorders>
              <w:top w:val="single" w:sz="3" w:color="D9E2EC"/>
              <w:left w:val="single" w:sz="3" w:color="D9E2EC"/>
              <w:bottom w:val="single" w:sz="3" w:color="D9E2EC"/>
              <w:right w:val="single" w:sz="3" w:color="D9E2EC"/>
            </w:tcBorders>
          </w:tcPr>
          <w:p>
            <w:pPr>
              <w:spacing w:after="20"/>
            </w:pPr>
            <w:r>
              <w:rPr>
                <w:sz w:val="16"/>
              </w:rPr>
              <w:t>Checkout and legal regression</w:t>
            </w:r>
          </w:p>
        </w:tc>
        <w:tc>
          <w:tcPr>
            <w:tcW w:type="dxa" w:w="3456"/>
            <w:tcBorders>
              <w:top w:val="single" w:sz="3" w:color="D9E2EC"/>
              <w:left w:val="single" w:sz="3" w:color="D9E2EC"/>
              <w:bottom w:val="single" w:sz="3" w:color="D9E2EC"/>
              <w:right w:val="single" w:sz="3" w:color="D9E2EC"/>
            </w:tcBorders>
          </w:tcPr>
          <w:p>
            <w:pPr>
              <w:spacing w:after="20"/>
            </w:pPr>
            <w:r>
              <w:rPr>
                <w:sz w:val="16"/>
              </w:rPr>
              <w:t>No service_fee_amount writes; explicit regression tests</w:t>
            </w:r>
          </w:p>
        </w:tc>
      </w:tr>
      <w:tr>
        <w:tc>
          <w:tcPr>
            <w:tcW w:type="dxa" w:w="3168"/>
            <w:shd w:fill="F8FAFC"/>
            <w:tcBorders>
              <w:top w:val="single" w:sz="3" w:color="D9E2EC"/>
              <w:left w:val="single" w:sz="3" w:color="D9E2EC"/>
              <w:bottom w:val="single" w:sz="3" w:color="D9E2EC"/>
              <w:right w:val="single" w:sz="3" w:color="D9E2EC"/>
            </w:tcBorders>
          </w:tcPr>
          <w:p>
            <w:pPr>
              <w:spacing w:after="20"/>
            </w:pPr>
            <w:r>
              <w:rPr>
                <w:sz w:val="16"/>
              </w:rPr>
              <w:t>Cross-tenant query or ID manipulation</w:t>
            </w:r>
          </w:p>
        </w:tc>
        <w:tc>
          <w:tcPr>
            <w:tcW w:type="dxa" w:w="3024"/>
            <w:shd w:fill="F8FAFC"/>
            <w:tcBorders>
              <w:top w:val="single" w:sz="3" w:color="D9E2EC"/>
              <w:left w:val="single" w:sz="3" w:color="D9E2EC"/>
              <w:bottom w:val="single" w:sz="3" w:color="D9E2EC"/>
              <w:right w:val="single" w:sz="3" w:color="D9E2EC"/>
            </w:tcBorders>
          </w:tcPr>
          <w:p>
            <w:pPr>
              <w:spacing w:after="20"/>
            </w:pPr>
            <w:r>
              <w:rPr>
                <w:sz w:val="16"/>
              </w:rPr>
              <w:t>Data disclosure or policy corruption</w:t>
            </w:r>
          </w:p>
        </w:tc>
        <w:tc>
          <w:tcPr>
            <w:tcW w:type="dxa" w:w="3456"/>
            <w:shd w:fill="F8FAFC"/>
            <w:tcBorders>
              <w:top w:val="single" w:sz="3" w:color="D9E2EC"/>
              <w:left w:val="single" w:sz="3" w:color="D9E2EC"/>
              <w:bottom w:val="single" w:sz="3" w:color="D9E2EC"/>
              <w:right w:val="single" w:sz="3" w:color="D9E2EC"/>
            </w:tcBorders>
          </w:tcPr>
          <w:p>
            <w:pPr>
              <w:spacing w:after="20"/>
            </w:pPr>
            <w:r>
              <w:rPr>
                <w:sz w:val="16"/>
              </w:rPr>
              <w:t>Server-derived tenant context and tenant isolation tests</w:t>
            </w:r>
          </w:p>
        </w:tc>
      </w:tr>
    </w:tbl>
    <w:p/>
    <w:p>
      <w:pPr>
        <w:pStyle w:val="Heading1"/>
      </w:pPr>
      <w:r>
        <w:t>Implementation phase index</w:t>
      </w:r>
    </w:p>
    <w:p>
      <w:pPr>
        <w:pStyle w:val="ListBullet"/>
      </w:pPr>
      <w:r>
        <w:t>Phase 474.0 Decision and governance gate</w:t>
      </w:r>
    </w:p>
    <w:p>
      <w:pPr>
        <w:pStyle w:val="ListBullet"/>
      </w:pPr>
      <w:r>
        <w:t>Phase 474.1 Policy API and authorization</w:t>
      </w:r>
    </w:p>
    <w:p>
      <w:pPr>
        <w:pStyle w:val="ListBullet"/>
      </w:pPr>
      <w:r>
        <w:t>Phase 474.2 Transaction snapshot and reconciliation hardening</w:t>
      </w:r>
    </w:p>
    <w:p>
      <w:pPr>
        <w:pStyle w:val="ListBullet"/>
      </w:pPr>
      <w:r>
        <w:t>Phase 474.3 OPIS Owner configuration and payment visibility</w:t>
      </w:r>
    </w:p>
    <w:p>
      <w:pPr>
        <w:pStyle w:val="ListBullet"/>
      </w:pPr>
      <w:r>
        <w:t>Phase 474.4 Reports, exports, and audit evidence</w:t>
      </w:r>
    </w:p>
    <w:p>
      <w:pPr>
        <w:pStyle w:val="ListBullet"/>
      </w:pPr>
      <w:r>
        <w:t>Phase 474.5 Local verification and acceptance evidence</w:t>
      </w:r>
    </w:p>
    <w:p>
      <w:pPr>
        <w:pStyle w:val="Heading1"/>
      </w:pPr>
      <w:r>
        <w:t>Execution warning</w:t>
      </w:r>
    </w:p>
    <w:p>
      <w:r>
        <w:t>The execution agent must read all sections in order, confirm the four open decisions, and update ADR 0052 before changing the financial authorization boundary. The plan does not authorize implementation, deployment, staging verification, production changes, or IMS edits.</w:t>
      </w:r>
    </w:p>
    <w:p>
      <w:pPr>
        <w:spacing w:before="160"/>
      </w:pPr>
      <w:r>
        <w:rPr>
          <w:i/>
          <w:color w:val="52606D"/>
          <w:sz w:val="17"/>
        </w:rPr>
        <w:t>This index is the authoritative entry point for the nine section documents that follow.</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2606D"/>
        <w:sz w:val="16"/>
      </w:rPr>
      <w:t>Plan version 1.0  |  2026-10-06  |  Local planning artifact</w:t>
    </w:r>
    <w:r>
      <w:t xml:space="preserve">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06D"/>
        <w:sz w:val="16"/>
      </w:rPr>
      <w:t>DGFY POS-DGFY  |  Configurable Payment Processing Fee  |  Section 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53B5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53B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