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b/>
          <w:i w:val="0"/>
          <w:color w:val="000000"/>
          <w:sz w:val="44"/>
        </w:rPr>
        <w:t>Configurable Payment Processing Fee Execution Summary</w:t>
      </w:r>
    </w:p>
    <w:p>
      <w:pPr>
        <w:spacing w:after="240"/>
      </w:pPr>
      <w:r>
        <w:rPr>
          <w:b w:val="0"/>
          <w:i/>
          <w:color w:val="000000"/>
          <w:sz w:val="22"/>
        </w:rPr>
        <w:t>Approved plan execution evidence for local UpdatePOS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416"/>
      </w:tblGrid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Repository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UpdatePOS worktree at C:/Users/USER/.codex/worktrees/updates-pos/POS-DGFY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Environment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Local verification only; no staging, production, merge, push, or live tenant mutation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Boundary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OPIS Back Office and tenant-revenue module; apps/dgfy-ims intentionally unchanged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IMPLEMENTATION COMPLETE — VERIFIED WITH DOCUMENTED NON-BLOCKING RISKS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/>
          <w:i w:val="0"/>
          <w:color w:val="000000"/>
          <w:sz w:val="30"/>
        </w:rPr>
        <w:t>Outcome</w:t>
      </w:r>
    </w:p>
    <w:p>
      <w:r>
        <w:rPr>
          <w:b w:val="0"/>
          <w:i w:val="0"/>
          <w:color w:val="000000"/>
        </w:rPr>
        <w:t>The approved feature is implemented in OPIS and the tenant-revenue service. A tenant Owner can view the policy history and save a new immutable payment-method fallback policy version. Processing-fee reporting separates actual provider evidence, estimated fallback values, and manual-review records.</w:t>
      </w:r>
    </w:p>
    <w:p>
      <w:r>
        <w:rPr>
          <w:b w:val="0"/>
          <w:i w:val="0"/>
          <w:color w:val="000000"/>
        </w:rPr>
        <w:t>Platform settlement fields remain finance-controlled. Actual provider or reconciled statement values replace fallback estimates, create an immutable reconciliation snapshot, and resolve the estimate exception. Fallback records stay blocking and on hold until that evidence exists.</w:t>
      </w:r>
    </w:p>
    <w:p>
      <w:pPr>
        <w:pStyle w:val="Heading1"/>
      </w:pPr>
      <w:r>
        <w:rPr>
          <w:b/>
          <w:i w:val="0"/>
          <w:color w:val="000000"/>
          <w:sz w:val="30"/>
        </w:rPr>
        <w:t>Execution coverage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232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1800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5760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Backend policy and transaction rules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Verified</w:t>
            </w:r>
          </w:p>
        </w:tc>
        <w:tc>
          <w:tcPr>
            <w:tcW w:type="dxa" w:w="57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Focused tenant-revenue Jest suites and fallback/actual reconciliation tests</w:t>
            </w:r>
          </w:p>
        </w:tc>
      </w:tr>
      <w:t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Authorization and mass-assignment controls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Verified</w:t>
            </w:r>
          </w:p>
        </w:tc>
        <w:tc>
          <w:tcPr>
            <w:tcW w:type="dxa" w:w="57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Owner-policy validator and route security contracts</w:t>
            </w:r>
          </w:p>
        </w:tc>
      </w:tr>
      <w:t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OPIS Owner settings and reporting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Verified</w:t>
            </w:r>
          </w:p>
        </w:tc>
        <w:tc>
          <w:tcPr>
            <w:tcW w:type="dxa" w:w="57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17 OPIS contract tests, lint, and production build</w:t>
            </w:r>
          </w:p>
        </w:tc>
      </w:tr>
      <w:t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Architecture and documentation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Verified</w:t>
            </w:r>
          </w:p>
        </w:tc>
        <w:tc>
          <w:tcPr>
            <w:tcW w:type="dxa" w:w="57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Architecture guardrails, controller boundaries, docs/ADR lint</w:t>
            </w:r>
          </w:p>
        </w:tc>
      </w:tr>
      <w:t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Compliance evidence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Verified</w:t>
            </w:r>
          </w:p>
        </w:tc>
        <w:tc>
          <w:tcPr>
            <w:tcW w:type="dxa" w:w="57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Local check:compliance PASS with impact declaration</w:t>
            </w:r>
          </w:p>
        </w:tc>
      </w:tr>
      <w:t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Database migration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Not required</w:t>
            </w:r>
          </w:p>
        </w:tc>
        <w:tc>
          <w:tcPr>
            <w:tcW w:type="dxa" w:w="57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Existing versioned fallback_fee_policy JSON field reused; schema compatibility tests pass</w:t>
            </w:r>
          </w:p>
        </w:tc>
      </w:tr>
      <w:t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IMS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Untouched</w:t>
            </w:r>
          </w:p>
        </w:tc>
        <w:tc>
          <w:tcPr>
            <w:tcW w:type="dxa" w:w="57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No apps/dgfy-ims diff; feature placement remains OPIS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/>
          <w:i w:val="0"/>
          <w:color w:val="000000"/>
          <w:sz w:val="30"/>
        </w:rPr>
        <w:t>Non blocking risks</w:t>
      </w:r>
    </w:p>
    <w:p>
      <w:r>
        <w:rPr>
          <w:b w:val="0"/>
          <w:i w:val="0"/>
          <w:color w:val="000000"/>
        </w:rPr>
        <w:t>Live request-time compliance preflight and authenticated browser acceptance were not executed in this local session. The declaration records this explicitly; it is a release evidence prerequisite, not a local implementation defect.</w:t>
      </w:r>
    </w:p>
    <w:p>
      <w:r>
        <w:rPr>
          <w:b w:val="0"/>
          <w:i w:val="0"/>
          <w:color w:val="000000"/>
        </w:rPr>
        <w:t>The repository contains unrelated pre-existing packages/web-core POS printing changes. They were preserved and are excluded from this feature scope.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000000"/>
        <w:sz w:val="16"/>
      </w:rPr>
      <w:t>DGFY local execution evidence  |  2026-10-06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