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Configurable Payment Processing Fee</w:t>
      </w:r>
    </w:p>
    <w:p>
      <w:pPr>
        <w:spacing w:after="160"/>
      </w:pPr>
      <w:r>
        <w:rPr>
          <w:b/>
          <w:color w:val="0F766E"/>
          <w:sz w:val="22"/>
        </w:rPr>
        <w:t>Objective and Current State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POS-DGFY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Plan version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Section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01  Objective and Current State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Describe the real system today, the requested outcome, the gaps that motivate the feature, and the boundaries that must remain unchanged.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Dependencies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Index; ADR 0052; ADR 0012; ADR 0087; Tenant Revenue settlement feature contract.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Implementation status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Planning only. No application code is changed by this plan.</w:t>
            </w:r>
          </w:p>
        </w:tc>
      </w:tr>
    </w:tbl>
    <w:p/>
    <w:p>
      <w:pPr>
        <w:pStyle w:val="Heading1"/>
      </w:pPr>
      <w:r>
        <w:t>Objective</w:t>
      </w:r>
    </w:p>
    <w:p>
      <w:r>
        <w:t>Give the current tenant Owner one trusted place in OPIS to see payment processing fees and configure the method-specific fallback used only when PayMongo does not provide an actual or reconciled fee. The API, ledger, transaction snapshot, and report must agree on the amount and its source.</w:t>
      </w:r>
    </w:p>
    <w:p>
      <w:pPr>
        <w:pStyle w:val="Heading1"/>
      </w:pPr>
      <w:r>
        <w:t>Affected users and workflow</w:t>
      </w:r>
    </w:p>
    <w:p>
      <w:pPr>
        <w:pStyle w:val="ListBullet"/>
      </w:pPr>
      <w:r>
        <w:t>Tenant Owner or explicitly authorized tenant finance operator who needs to configure expected fallback rates and inspect the resulting fee.</w:t>
      </w:r>
    </w:p>
    <w:p>
      <w:pPr>
        <w:pStyle w:val="ListBullet"/>
      </w:pPr>
      <w:r>
        <w:t>Tenant users with report access who need to read payment statements without changing financial policy.</w:t>
      </w:r>
    </w:p>
    <w:p>
      <w:pPr>
        <w:pStyle w:val="ListBullet"/>
      </w:pPr>
      <w:r>
        <w:t>Platform finance administrators who remain responsible for platform fee policy, payout controls, and provider reconciliation.</w:t>
      </w:r>
    </w:p>
    <w:p>
      <w:pPr>
        <w:pStyle w:val="ListBullet"/>
      </w:pPr>
      <w:r>
        <w:t>Customers and POS cashiers are intentionally not affected by this plan.</w:t>
      </w:r>
    </w:p>
    <w:p>
      <w:pPr>
        <w:pStyle w:val="Heading1"/>
      </w:pPr>
      <w:r>
        <w:t>Confirmed current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Evidence or decision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Use in plan</w:t>
            </w:r>
          </w:p>
        </w:tc>
      </w:tr>
      <w:tr>
        <w:tc>
          <w:tcPr>
            <w:tcW w:type="dxa" w:w="345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revenue calculation</w:t>
            </w:r>
          </w:p>
        </w:tc>
        <w:tc>
          <w:tcPr>
            <w:tcW w:type="dxa" w:w="38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extractProviderFinancials reads actual fee fields and otherwise calculates a method-specific fallback from fallback_fee_policy; it records webhook, fallback, or manual_review source.</w:t>
            </w:r>
          </w:p>
        </w:tc>
        <w:tc>
          <w:tcPr>
            <w:tcW w:type="dxa" w:w="194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Reuse the existing provider fee precedence and normalization.</w:t>
            </w:r>
          </w:p>
        </w:tc>
      </w:tr>
      <w:tr>
        <w:tc>
          <w:tcPr>
            <w:tcW w:type="dxa" w:w="345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fee policy storage</w:t>
            </w:r>
          </w:p>
        </w:tc>
        <w:tc>
          <w:tcPr>
            <w:tcW w:type="dxa" w:w="388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TenantRevenueFeePolicy already stores version, effective dates, provider_fee_payer, and fallback_fee_policy as JSON. Policy creation closes the previous version and writes an audit log.</w:t>
            </w:r>
          </w:p>
        </w:tc>
        <w:tc>
          <w:tcPr>
            <w:tcW w:type="dxa" w:w="194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Extend the existing versioned policy instead of creating a competing settings table.</w:t>
            </w:r>
          </w:p>
        </w:tc>
      </w:tr>
      <w:tr>
        <w:tc>
          <w:tcPr>
            <w:tcW w:type="dxa" w:w="345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API</w:t>
            </w:r>
          </w:p>
        </w:tc>
        <w:tc>
          <w:tcPr>
            <w:tcW w:type="dxa" w:w="38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Authenticated tenant routes expose summary, transactions, settlements, and fee-history. Fee-policy creation is currently under admin tenant routes and finance approver authority.</w:t>
            </w:r>
          </w:p>
        </w:tc>
        <w:tc>
          <w:tcPr>
            <w:tcW w:type="dxa" w:w="194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Add a narrowly scoped Owner mutation path; keep tenant reads server-scoped.</w:t>
            </w:r>
          </w:p>
        </w:tc>
      </w:tr>
      <w:tr>
        <w:tc>
          <w:tcPr>
            <w:tcW w:type="dxa" w:w="345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Shared revenue report</w:t>
            </w:r>
          </w:p>
        </w:tc>
        <w:tc>
          <w:tcPr>
            <w:tcW w:type="dxa" w:w="388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TenantRevenueReadOnlyPanel already shows Payment processing fees, Amount due to your business, a Fees column, and the latest fee policy.</w:t>
            </w:r>
          </w:p>
        </w:tc>
        <w:tc>
          <w:tcPr>
            <w:tcW w:type="dxa" w:w="194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Use the existing canonical financial endpoints and make source and components unambiguous in OPIS.</w:t>
            </w:r>
          </w:p>
        </w:tc>
      </w:tr>
      <w:tr>
        <w:tc>
          <w:tcPr>
            <w:tcW w:type="dxa" w:w="345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Payments</w:t>
            </w:r>
          </w:p>
        </w:tc>
        <w:tc>
          <w:tcPr>
            <w:tcW w:type="dxa" w:w="38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BusinessAdminPage displays Collected, Business amount, Refunded, and Exceptions. Business amount is explicitly labeled Before payment processing fees, but a separate processing fee metric is not shown.</w:t>
            </w:r>
          </w:p>
        </w:tc>
        <w:tc>
          <w:tcPr>
            <w:tcW w:type="dxa" w:w="194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Fix the Owner-facing visibility gap in OPIS without moving financial calculation into a frontend.</w:t>
            </w:r>
          </w:p>
        </w:tc>
      </w:tr>
      <w:tr>
        <w:tc>
          <w:tcPr>
            <w:tcW w:type="dxa" w:w="345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Permissions</w:t>
            </w:r>
          </w:p>
        </w:tc>
        <w:tc>
          <w:tcPr>
            <w:tcW w:type="dxa" w:w="388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Business Admin payments currently projects downpayment permissions. Generic settings permissions exist, but they are too broad for a financial-policy mutation.</w:t>
            </w:r>
          </w:p>
        </w:tc>
        <w:tc>
          <w:tcPr>
            <w:tcW w:type="dxa" w:w="194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Add a dedicated fee-policy capability or equivalent explicit owner authority.</w:t>
            </w:r>
          </w:p>
        </w:tc>
      </w:tr>
    </w:tbl>
    <w:p/>
    <w:p>
      <w:pPr>
        <w:pStyle w:val="Heading1"/>
      </w:pPr>
      <w:r>
        <w:t>Current flow</w:t>
      </w:r>
    </w:p>
    <w:p>
      <w:r>
        <w:t>Verified online payment flow:</w:t>
      </w:r>
    </w:p>
    <w:p>
      <w:pPr>
        <w:pStyle w:val="ListBullet"/>
      </w:pPr>
      <w:r>
        <w:t>PayMongo payment event reaches the commerce webhook and the tenant revenue posting use case.</w:t>
      </w:r>
    </w:p>
    <w:p>
      <w:pPr>
        <w:pStyle w:val="ListBullet"/>
      </w:pPr>
      <w:r>
        <w:t>The use case resolves the effective tenant policy for the payment time.</w:t>
      </w:r>
    </w:p>
    <w:p>
      <w:pPr>
        <w:pStyle w:val="ListBullet"/>
      </w:pPr>
      <w:r>
        <w:t>Provider financial attributes are extracted; if the actual fee is absent, the exact normalized payment method fallback is calculated.</w:t>
      </w:r>
    </w:p>
    <w:p>
      <w:pPr>
        <w:pStyle w:val="ListBullet"/>
      </w:pPr>
      <w:r>
        <w:t>The provider fee, source, policy, calculation, and tenant payable are written to the tenant revenue transaction and financial_snapshot.</w:t>
      </w:r>
    </w:p>
    <w:p>
      <w:pPr>
        <w:pStyle w:val="ListBullet"/>
      </w:pPr>
      <w:r>
        <w:t>Ledger entries and reconciliation records are written in a transaction; the tenant report reads server-scoped aggregates.</w:t>
      </w:r>
    </w:p>
    <w:p>
      <w:pPr>
        <w:pStyle w:val="ListBullet"/>
      </w:pPr>
      <w:r>
        <w:t>OPIS currently reads a separate Business Admin payment-monitoring model, which does not expose the tenant revenue provider-fee total in its summary cards.</w:t>
      </w:r>
    </w:p>
    <w:p>
      <w:pPr>
        <w:pStyle w:val="Heading1"/>
      </w:pPr>
      <w:r>
        <w:t>Confirmed gaps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Gap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Root cause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Required response</w:t>
            </w:r>
          </w:p>
        </w:tc>
      </w:tr>
      <w:tr>
        <w:tc>
          <w:tcPr>
            <w:tcW w:type="dxa" w:w="244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Owner cannot configure fallback</w:t>
            </w:r>
          </w:p>
        </w:tc>
        <w:tc>
          <w:tcPr>
            <w:tcW w:type="dxa" w:w="38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Only the admin finance-policy route can create a policy version.</w:t>
            </w:r>
          </w:p>
        </w:tc>
        <w:tc>
          <w:tcPr>
            <w:tcW w:type="dxa" w:w="331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Add an Owner-only fallback update use case and tenant-scoped route.</w:t>
            </w:r>
          </w:p>
        </w:tc>
      </w:tr>
      <w:tr>
        <w:tc>
          <w:tcPr>
            <w:tcW w:type="dxa" w:w="244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Owner cannot distinguish fee sources</w:t>
            </w:r>
          </w:p>
        </w:tc>
        <w:tc>
          <w:tcPr>
            <w:tcW w:type="dxa" w:w="388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The report exposes provider_fee_centavos but the UI does not consistently label webhook, statement, fallback, or manual review.</w:t>
            </w:r>
          </w:p>
        </w:tc>
        <w:tc>
          <w:tcPr>
            <w:tcW w:type="dxa" w:w="331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Return and render source-aware summary and transaction fields.</w:t>
            </w:r>
          </w:p>
        </w:tc>
      </w:tr>
      <w:tr>
        <w:tc>
          <w:tcPr>
            <w:tcW w:type="dxa" w:w="244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summary hides provider fee</w:t>
            </w:r>
          </w:p>
        </w:tc>
        <w:tc>
          <w:tcPr>
            <w:tcW w:type="dxa" w:w="38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merchant_net_before_provider_fees_centavos is intentionally before the fee and the page has no separate fee metric.</w:t>
            </w:r>
          </w:p>
        </w:tc>
        <w:tc>
          <w:tcPr>
            <w:tcW w:type="dxa" w:w="331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Compose canonical tenant revenue data into the OPIS Payments view.</w:t>
            </w:r>
          </w:p>
        </w:tc>
      </w:tr>
      <w:tr>
        <w:tc>
          <w:tcPr>
            <w:tcW w:type="dxa" w:w="244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Financial policy fields are too broad</w:t>
            </w:r>
          </w:p>
        </w:tc>
        <w:tc>
          <w:tcPr>
            <w:tcW w:type="dxa" w:w="388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Existing fee-policy body includes DGFY rate, payer, payout, settlement, and automatic-payout fields.</w:t>
            </w:r>
          </w:p>
        </w:tc>
        <w:tc>
          <w:tcPr>
            <w:tcW w:type="dxa" w:w="331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Use a field allowlist and preserve platform-controlled values.</w:t>
            </w:r>
          </w:p>
        </w:tc>
      </w:tr>
      <w:tr>
        <w:tc>
          <w:tcPr>
            <w:tcW w:type="dxa" w:w="244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Fallback may be mistaken for final</w:t>
            </w:r>
          </w:p>
        </w:tc>
        <w:tc>
          <w:tcPr>
            <w:tcW w:type="dxa" w:w="38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 calculated fallback has an amount but is not provider evidence.</w:t>
            </w:r>
          </w:p>
        </w:tc>
        <w:tc>
          <w:tcPr>
            <w:tcW w:type="dxa" w:w="331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Make estimated source explicit and require reconciliation before settlement eligibility if confirmed by finance.</w:t>
            </w:r>
          </w:p>
        </w:tc>
      </w:tr>
    </w:tbl>
    <w:p/>
    <w:p>
      <w:pPr>
        <w:pStyle w:val="Heading1"/>
      </w:pPr>
      <w:r>
        <w:t>Recommended interpretation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1"/>
            <w:tcBorders>
              <w:top w:val="single" w:sz="6" w:color="D9B44A"/>
              <w:left w:val="single" w:sz="12" w:color="0F766E"/>
              <w:bottom w:val="single" w:sz="6" w:color="D9B44A"/>
              <w:right w:val="single" w:sz="6" w:color="D9B44A"/>
            </w:tcBorders>
          </w:tcPr>
          <w:p>
            <w:r>
              <w:rPr>
                <w:b/>
                <w:color w:val="153B50"/>
              </w:rPr>
              <w:t xml:space="preserve">Proceed  </w:t>
            </w:r>
            <w:r>
              <w:t>Implement this as an Owner configuration and visibility extension to the existing provider-fee settlement capability. Do not create a second fee engine. Do not turn it into a customer surcharge.</w:t>
            </w:r>
          </w:p>
        </w:tc>
      </w:tr>
    </w:tbl>
    <w:p/>
    <w:p>
      <w:pPr>
        <w:pStyle w:val="Heading1"/>
      </w:pPr>
      <w:r>
        <w:t>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In scope</w:t>
            </w:r>
          </w:p>
        </w:tc>
        <w:tc>
          <w:tcPr>
            <w:tcW w:type="dxa" w:w="5083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Out of scope</w:t>
            </w:r>
          </w:p>
        </w:tc>
      </w:tr>
      <w:tr>
        <w:tc>
          <w:tcPr>
            <w:tcW w:type="dxa" w:w="482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Owner configuration for exact method-specific fallback rate and fixed centavos.</w:t>
            </w:r>
          </w:p>
        </w:tc>
        <w:tc>
          <w:tcPr>
            <w:tcW w:type="dxa" w:w="482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apps/dgfy-ims changes of any kind.</w:t>
            </w:r>
          </w:p>
        </w:tc>
      </w:tr>
      <w:tr>
        <w:tc>
          <w:tcPr>
            <w:tcW w:type="dxa" w:w="482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revenue API authorization, versioning, source-aware response, and audit.</w:t>
            </w:r>
          </w:p>
        </w:tc>
        <w:tc>
          <w:tcPr>
            <w:tcW w:type="dxa" w:w="482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Reactivating service_fee_amount or DGFY convenience fee.</w:t>
            </w:r>
          </w:p>
        </w:tc>
      </w:tr>
      <w:tr>
        <w:tc>
          <w:tcPr>
            <w:tcW w:type="dxa" w:w="482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Provider fee summary and source-aware transaction display in OPIS.</w:t>
            </w:r>
          </w:p>
        </w:tc>
        <w:tc>
          <w:tcPr>
            <w:tcW w:type="dxa" w:w="482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Adding a fee to customer Storefront or POS totals.</w:t>
            </w:r>
          </w:p>
        </w:tc>
      </w:tr>
      <w:tr>
        <w:tc>
          <w:tcPr>
            <w:tcW w:type="dxa" w:w="482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Immutable historical policy behavior and reconciliation safety.</w:t>
            </w:r>
          </w:p>
        </w:tc>
        <w:tc>
          <w:tcPr>
            <w:tcW w:type="dxa" w:w="482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Changing restaurant service charge or delivery fee configuration.</w:t>
            </w:r>
          </w:p>
        </w:tc>
      </w:tr>
      <w:tr>
        <w:tc>
          <w:tcPr>
            <w:tcW w:type="dxa" w:w="482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Local tests and evidence only.</w:t>
            </w:r>
          </w:p>
        </w:tc>
        <w:tc>
          <w:tcPr>
            <w:tcW w:type="dxa" w:w="482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Staging, production deployment, or production database mutation.</w:t>
            </w:r>
          </w:p>
        </w:tc>
      </w:tr>
    </w:tbl>
    <w:p/>
    <w:p>
      <w:pPr>
        <w:pStyle w:val="Heading1"/>
      </w:pPr>
      <w:r>
        <w:t>Assumptions and unknowns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83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Statement</w:t>
            </w:r>
          </w:p>
        </w:tc>
      </w:tr>
      <w:tr>
        <w:tc>
          <w:tcPr>
            <w:tcW w:type="dxa" w:w="15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Assumed</w:t>
            </w:r>
          </w:p>
        </w:tc>
        <w:tc>
          <w:tcPr>
            <w:tcW w:type="dxa" w:w="80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The business wants the provider cost or exact fallback visible to the Owner, not a customer-facing markup.</w:t>
            </w:r>
          </w:p>
        </w:tc>
      </w:tr>
      <w:tr>
        <w:tc>
          <w:tcPr>
            <w:tcW w:type="dxa" w:w="158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Assumed</w:t>
            </w:r>
          </w:p>
        </w:tc>
        <w:tc>
          <w:tcPr>
            <w:tcW w:type="dxa" w:w="806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Only the current tenant Owner may edit fallback settings; other users retain read-only access according to report permission.</w:t>
            </w:r>
          </w:p>
        </w:tc>
      </w:tr>
      <w:tr>
        <w:tc>
          <w:tcPr>
            <w:tcW w:type="dxa" w:w="158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Unknown</w:t>
            </w:r>
          </w:p>
        </w:tc>
        <w:tc>
          <w:tcPr>
            <w:tcW w:type="dxa" w:w="80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Whether finance wants fallback-created transactions to stay in exception status or use a separate pending-provider-fee state. The plan recommends hold or exception.</w:t>
            </w:r>
          </w:p>
        </w:tc>
      </w:tr>
      <w:tr>
        <w:tc>
          <w:tcPr>
            <w:tcW w:type="dxa" w:w="158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Unknown</w:t>
            </w:r>
          </w:p>
        </w:tc>
        <w:tc>
          <w:tcPr>
            <w:tcW w:type="dxa" w:w="806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Whether the initial tenant revenue policy is already published for every target tenant. Rollout must seed safe on-hold policy versions where missing.</w:t>
            </w:r>
          </w:p>
        </w:tc>
      </w:tr>
    </w:tbl>
    <w:p/>
    <w:p>
      <w:pPr>
        <w:pStyle w:val="Heading2"/>
      </w:pPr>
      <w:r>
        <w:t>Repository evidence</w:t>
      </w:r>
    </w:p>
    <w:p>
      <w:pPr>
        <w:pStyle w:val="ListBullet"/>
      </w:pPr>
      <w:r>
        <w:rPr>
          <w:rFonts w:ascii="Consolas" w:hAnsi="Consolas"/>
          <w:sz w:val="17"/>
        </w:rPr>
        <w:t>apps/dgfy-api/src/modules/tenantRevenue/usecases/tenantRevenueUseCases.js</w:t>
      </w:r>
    </w:p>
    <w:p>
      <w:pPr>
        <w:pStyle w:val="ListBullet"/>
      </w:pPr>
      <w:r>
        <w:rPr>
          <w:rFonts w:ascii="Consolas" w:hAnsi="Consolas"/>
          <w:sz w:val="17"/>
        </w:rPr>
        <w:t>apps/dgfy-api/src/modules/tenantRevenue/controllers/tenantRevenueHandlers.js</w:t>
      </w:r>
    </w:p>
    <w:p>
      <w:pPr>
        <w:pStyle w:val="ListBullet"/>
      </w:pPr>
      <w:r>
        <w:rPr>
          <w:rFonts w:ascii="Consolas" w:hAnsi="Consolas"/>
          <w:sz w:val="17"/>
        </w:rPr>
        <w:t>apps/dgfy-api/src/routes/tenantRevenue.js</w:t>
      </w:r>
    </w:p>
    <w:p>
      <w:pPr>
        <w:pStyle w:val="ListBullet"/>
      </w:pPr>
      <w:r>
        <w:rPr>
          <w:rFonts w:ascii="Consolas" w:hAnsi="Consolas"/>
          <w:sz w:val="17"/>
        </w:rPr>
        <w:t>apps/dgfy-opis/src/features/businessAdmin/BusinessAdminPage.jsx</w:t>
      </w:r>
    </w:p>
    <w:p>
      <w:pPr>
        <w:pStyle w:val="ListBullet"/>
      </w:pPr>
      <w:r>
        <w:rPr>
          <w:rFonts w:ascii="Consolas" w:hAnsi="Consolas"/>
          <w:sz w:val="17"/>
        </w:rPr>
        <w:t>apps/dgfy-opis/src/features/businessAdmin/businessAdminService.js</w:t>
      </w:r>
    </w:p>
    <w:p>
      <w:pPr>
        <w:pStyle w:val="ListBullet"/>
      </w:pPr>
      <w:r>
        <w:rPr>
          <w:rFonts w:ascii="Consolas" w:hAnsi="Consolas"/>
          <w:sz w:val="17"/>
        </w:rPr>
        <w:t>packages/web-core/src/features/reports/TenantRevenueReadOnlyPanel.jsx</w:t>
      </w:r>
    </w:p>
    <w:p>
      <w:pPr>
        <w:pStyle w:val="ListBullet"/>
      </w:pPr>
      <w:r>
        <w:rPr>
          <w:rFonts w:ascii="Consolas" w:hAnsi="Consolas"/>
          <w:sz w:val="17"/>
        </w:rPr>
        <w:t>docs/architecture/adr/0052-tenant-revenue-collection-ledger-and-settlement.md</w:t>
      </w:r>
    </w:p>
    <w:p>
      <w:pPr>
        <w:pStyle w:val="ListBullet"/>
      </w:pPr>
      <w:r>
        <w:rPr>
          <w:rFonts w:ascii="Consolas" w:hAnsi="Consolas"/>
          <w:sz w:val="17"/>
        </w:rPr>
        <w:t>docs/architecture/adr/0012-dgfy-global-convenience-fee-and-ui-brand-separation.md</w:t>
      </w:r>
    </w:p>
    <w:p>
      <w:pPr>
        <w:pStyle w:val="ListBullet"/>
      </w:pPr>
      <w:r>
        <w:rPr>
          <w:rFonts w:ascii="Consolas" w:hAnsi="Consolas"/>
          <w:sz w:val="17"/>
        </w:rPr>
        <w:t>docs/architecture/adr/0087-dedicated-back-office-fourth-frontend-app-opis.md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2606D"/>
        <w:sz w:val="16"/>
      </w:rPr>
      <w:t>Plan version 1.0  |  2026-10-06  |  Local planning artifact</w:t>
    </w:r>
    <w:r>
      <w:t xml:space="preserve"> 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2606D"/>
        <w:sz w:val="16"/>
      </w:rPr>
      <w:t>DGFY POS-DGFY  |  Configurable Payment Processing Fee  |  Section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53B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B5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