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Configurable Payment Processing Fee</w:t>
      </w:r>
    </w:p>
    <w:p>
      <w:pPr>
        <w:spacing w:after="160"/>
      </w:pPr>
      <w:r>
        <w:rPr>
          <w:b/>
          <w:color w:val="0F766E"/>
          <w:sz w:val="22"/>
        </w:rPr>
        <w:t>Requirements and Business Rules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POS-DGFY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Plan version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02  Requirements and Business Rules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Define the testable feature contract, money rules, scope restrictions, error behavior, and non-functional expectations.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Section 01; ADR 0052; existing tenant revenue validator and use cases; Owner authority contract.</w:t>
            </w:r>
          </w:p>
        </w:tc>
      </w:tr>
      <w:tr>
        <w:tc>
          <w:tcPr>
            <w:tcW w:type="dxa" w:w="5083"/>
            <w:shd w:fill="EAF2F8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b/>
                <w:sz w:val="17"/>
              </w:rPr>
              <w:t>Implementation status</w:t>
            </w:r>
          </w:p>
        </w:tc>
        <w:tc>
          <w:tcPr>
            <w:tcW w:type="dxa" w:w="5083"/>
            <w:shd w:fill="FFFFFF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40"/>
            </w:pPr>
            <w:r>
              <w:rPr>
                <w:sz w:val="17"/>
              </w:rPr>
              <w:t>Planning only. No application code is changed by this plan.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Owner can view the current processing-fee fallback policy by normalized payment method.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UI and API contract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FR-002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Owner can submit a new effective-dated fallback policy version containing only method rate_bps, fixed_centavos, effective_at, and reason.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API integration and DB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FR-003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system shows provider fee amount, source, method, policy version, and whether the amount is estimated for each online payment where available.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API and UI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FR-004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payment summary separates provider processing fee, DGFY platform fee, refunds, and tenant amount due.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Report acceptance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FR-005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Actual or reconciled provider fee data overrides the Owner fallback without changing the Owner policy.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Use-case unit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FR-006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Missing provider fee and missing fallback produce an explicit manual-review state rather than an invented zero fee.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Failure-path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FR-007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 saved policy is visible after refresh with its version, effective date, actor, and reason.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UI/API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FR-008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Owner receives a conflict response when another policy version is created before the submitted expected version.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Concurrency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FR-009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The feature works without an active POS shift and does not alter active POS carts, shifts, or terminal state.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OPIS browser test</w:t>
            </w:r>
          </w:p>
        </w:tc>
      </w:tr>
    </w:tbl>
    <w:p/>
    <w:p>
      <w:pPr>
        <w:pStyle w:val="Heading1"/>
      </w:pPr>
      <w:r>
        <w:t>Business rules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Provider fee source priority is actual PayMongo data, reconciled API or statement data, exact payment-method fallback, then manual review.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 unit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BR-002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 amount is an estimate and must be labeled as fallback or estimated in every Owner-facing report and export.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Report/UI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BR-003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 formula is roundBasisPoints(gross_centavos, rate_bps) plus fixed_centavos using integer centavos and the existing 10,000 basis-point denominator.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Calculation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BR-004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New policy versions apply only to payments resolved at or after their effective date; historical transactions retain their policy and amounts.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Historical policy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BR-005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Owner edits fallback fields only. DGFY rate, provider fee payer, shared allocation, settlement status, payout destination, payout threshold, and automatic payout remain platform-controlled.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Mass-assignment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BR-006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This feature does not add or remove money from a customer-facing Storefront or POS cashier total.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Regression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BR-007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Restaurant service charge, delivery fee, POS split tender, cash, and walk-in POS QR payments remain separate fee domains.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Boundary tests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BR-008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An effective date cannot rewrite or backdate a posted policy version. It must be later than the latest version and non-retroactive for Owner edits.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Validation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BR-009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 fallback-derived fee must not be presented as provider evidence; recommended settlement behavior is on hold or exception until actual or reconciled evidence arrives.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Reconciliation test and finance signoff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BR-010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Fallback VAT is unknown unless the provider supplies a VAT amount. The system must not infer provider VAT from a configured percentage.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Financial data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BR-011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Duplicate normalized method keys such as gcash and ewallet are rejected rather than silently merged.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Validator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BR-012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Every policy mutation includes a reason and actor; posted transactions and ledger entries are never edited to apply a new current policy.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Audit and history test</w:t>
            </w:r>
          </w:p>
        </w:tc>
      </w:tr>
    </w:tbl>
    <w:p/>
    <w:p>
      <w:pPr>
        <w:pStyle w:val="Heading1"/>
      </w:pPr>
      <w:r>
        <w:t>Permission and security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View requests derive tenant_id from the authenticated tenant context and ignore or reject a caller-supplied tenant ID.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Tenant isolation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PERM-002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View authority is report or dedicated processing-fee view authority; edit authority is a distinct dedicated capability granted to the current tenant Owner.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Role matrix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PERM-003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Business Admin discovery cannot grant financial edit access by itself.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Unauthorized API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PERM-004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Request body is an allowlist DTO; unknown fields and platform-controlled fields are stripped or rejected and never mass-assigned.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Payload security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PERM-005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Sensitive payout destination fields remain masked or absent from Owner responses.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Response contract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PERM-006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CSRF, authenticated session, rate limit, no-store cache, and audit behavior follow existing tenant revenue route protections.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Security integration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PERM-007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Removing the Owner capability during an open form prevents the save and leaves the last policy unchanged.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Session and permission race test</w:t>
            </w:r>
          </w:p>
        </w:tc>
      </w:tr>
    </w:tbl>
    <w:p/>
    <w:p>
      <w:pPr>
        <w:pStyle w:val="Heading1"/>
      </w:pPr>
      <w:r>
        <w:t>Reporting and audit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shd w:fill="153B50"/>
            <w:tcBorders>
              <w:top w:val="single" w:sz="6" w:color="153B50"/>
              <w:left w:val="single" w:sz="4" w:color="FFFFFF"/>
              <w:bottom w:val="single" w:sz="6" w:color="153B50"/>
              <w:right w:val="single" w:sz="4" w:color="FFFFFF"/>
            </w:tcBorders>
          </w:tcPr>
          <w:p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REP-001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Summary exposes provider processing fee total and a source breakdown.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Report API/UI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REP-002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Transaction rows expose provider fee, platform fee, tenant share, amount due, and provider fee source separately.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Table contract test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REP-003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CSV exports include policy version, effective date, payment method, source, and estimate indicator.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CSV test</w:t>
            </w:r>
          </w:p>
        </w:tc>
      </w:tr>
      <w:tr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AUD-001</w:t>
            </w:r>
          </w:p>
        </w:tc>
        <w:tc>
          <w:tcPr>
            <w:tcW w:type="dxa" w:w="5400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Policy mutation records actor, tenant, previous fallback, new fallback, effective date, reason, request ID, and timestamp.</w:t>
            </w:r>
          </w:p>
        </w:tc>
        <w:tc>
          <w:tcPr>
            <w:tcW w:type="dxa" w:w="93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Audit assertion</w:t>
            </w:r>
          </w:p>
        </w:tc>
      </w:tr>
      <w:tr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AUD-002</w:t>
            </w:r>
          </w:p>
        </w:tc>
        <w:tc>
          <w:tcPr>
            <w:tcW w:type="dxa" w:w="5400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Provider reconciliation records the old estimate, actual amount, source, delta, and resulting ledger correction.</w:t>
            </w:r>
          </w:p>
        </w:tc>
        <w:tc>
          <w:tcPr>
            <w:tcW w:type="dxa" w:w="93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2016"/>
            <w:shd w:fill="F8FAFC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20"/>
            </w:pPr>
            <w:r>
              <w:rPr>
                <w:sz w:val="16"/>
              </w:rPr>
              <w:t>Reconciliation audit test</w:t>
            </w:r>
          </w:p>
        </w:tc>
      </w:tr>
    </w:tbl>
    <w:p/>
    <w:p>
      <w:pPr>
        <w:pStyle w:val="Heading1"/>
      </w:pPr>
      <w:r>
        <w:t>Non-functional requirements</w:t>
      </w:r>
    </w:p>
    <w:p>
      <w:pPr>
        <w:pStyle w:val="ListBullet"/>
      </w:pPr>
      <w:r>
        <w:t>NFR-001: Use integer centavos and bounded integers; never use floating point for stored financial amounts.</w:t>
      </w:r>
    </w:p>
    <w:p>
      <w:pPr>
        <w:pStyle w:val="ListBullet"/>
      </w:pPr>
      <w:r>
        <w:t>NFR-002: Read paths remain tenant-scoped, paginated, no-store, and free of avoidable N+1 queries.</w:t>
      </w:r>
    </w:p>
    <w:p>
      <w:pPr>
        <w:pStyle w:val="ListBullet"/>
      </w:pPr>
      <w:r>
        <w:t>NFR-003: Save is idempotent at the policy-version boundary through expected version and database locking; retry cannot create duplicate same-version policy.</w:t>
      </w:r>
    </w:p>
    <w:p>
      <w:pPr>
        <w:pStyle w:val="ListBullet"/>
      </w:pPr>
      <w:r>
        <w:t>NFR-004: Loading, empty, stale, unauthorized, validation, conflict, and provider-data-missing states are explicit in OPIS.</w:t>
      </w:r>
    </w:p>
    <w:p>
      <w:pPr>
        <w:pStyle w:val="ListBullet"/>
      </w:pPr>
      <w:r>
        <w:t>NFR-005: Backward-compatible fields remain readable; no historical backfill is needed for the existing transaction table.</w:t>
      </w:r>
    </w:p>
    <w:p>
      <w:pPr>
        <w:pStyle w:val="ListBullet"/>
      </w:pPr>
      <w:r>
        <w:t>NFR-006: Local-only verification is required for this plan; staging and production evidence are explicitly excluded.</w:t>
      </w:r>
    </w:p>
    <w:p>
      <w:pPr>
        <w:pStyle w:val="Heading1"/>
      </w:pPr>
      <w:r>
        <w:t>Acceptance contract</w:t>
      </w:r>
    </w:p>
    <w:p>
      <w:r>
        <w:t>An implementation is not accepted if it merely displays a percentage. It must prove that the Owner-configured method fallback is versioned, server-selected, source-labeled, isolated to the correct tenant, excluded from customer totals, and reconciled when actual provider data arrives.</w:t>
      </w:r>
    </w:p>
    <w:p>
      <w:pPr>
        <w:spacing w:before="160"/>
      </w:pPr>
      <w:r>
        <w:rPr>
          <w:i/>
          <w:color w:val="52606D"/>
          <w:sz w:val="17"/>
        </w:rPr>
        <w:t>The execution agent must preserve these IDs in tests, code comments where useful, and the completion evidence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606D"/>
        <w:sz w:val="16"/>
      </w:rPr>
      <w:t>Plan version 1.0  |  2026-10-06  |  Local planning artifact</w:t>
    </w:r>
    <w:r>
      <w:t xml:space="preserve">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06D"/>
        <w:sz w:val="16"/>
      </w:rPr>
      <w:t>DGFY POS-DGFY  |  Configurable Payment Processing Fee  |  Section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53B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B5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