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Target Architecture and API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03  Target Architecture and API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Define the module boundaries, source of truth, target request flow, and additive API contracts without duplicating fee logic.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Sections 01 and 02; ADR 0052 architecture boundaries; ADR 0087 OPIS ownership.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Target architecture</w:t>
      </w:r>
    </w:p>
    <w:p>
      <w:r>
        <w:t>The authoritative path remains the existing tenant revenue module. OPIS is a presentation and configuration client. No frontend computes financial amounts and no IMS surface is 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FFB"/>
            <w:tcBorders>
              <w:top w:val="single" w:sz="6" w:color="D9B44A"/>
              <w:left w:val="single" w:sz="12" w:color="0F766E"/>
              <w:bottom w:val="single" w:sz="6" w:color="D9B44A"/>
              <w:right w:val="single" w:sz="6" w:color="D9B44A"/>
            </w:tcBorders>
          </w:tcPr>
          <w:p>
            <w:r>
              <w:rPr>
                <w:b/>
                <w:color w:val="153B50"/>
              </w:rPr>
              <w:t xml:space="preserve">Target flow  </w:t>
            </w:r>
            <w:r>
              <w:t>OPIS Owner action → authenticated tenant-revenue route → controller transport mapping → Owner fee-policy use case → locked tenant revenue repository → versioned landlord policy and audit row → server response → OPIS refresh of policy and payment statement.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Current or target owner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Planned responsibility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frontend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apps/dgfy-opis/src/features/businessAdmin</w:t>
            </w:r>
          </w:p>
        </w:tc>
        <w:tc>
          <w:tcPr>
            <w:tcW w:type="dxa" w:w="45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Render Processing fee policy form, payment summary, source badges, conflict and read-only states.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Frontend service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businessAdminService plus existing tenantRevenueService</w:t>
            </w:r>
          </w:p>
        </w:tc>
        <w:tc>
          <w:tcPr>
            <w:tcW w:type="dxa" w:w="45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Call canonical tenant revenue APIs; do not reproduce calculation or query another tenant.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Routes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apps/dgfy-api/src/routes/tenantRevenue.js</w:t>
            </w:r>
          </w:p>
        </w:tc>
        <w:tc>
          <w:tcPr>
            <w:tcW w:type="dxa" w:w="45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a tenant-scoped policy mutation endpoint with existing authentication, no-store, limiter, and capability checks.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Controllers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apps/dgfy-api/src/modules/tenantRevenue/controllers/tenantRevenueHandlers.js</w:t>
            </w:r>
          </w:p>
        </w:tc>
        <w:tc>
          <w:tcPr>
            <w:tcW w:type="dxa" w:w="45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validated body, authenticated actor, and server tenant context; call use case; format response.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cases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apps/dgfy-api/src/modules/tenantRevenue/usecases/tenantRevenueUseCases.js</w:t>
            </w:r>
          </w:p>
        </w:tc>
        <w:tc>
          <w:tcPr>
            <w:tcW w:type="dxa" w:w="45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Normalize fallback fields, preserve platform fields, version policy, lock latest policy, audit, and return sanitized DTO.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apps/dgfy-api/src/modules/tenantRevenue/repositories/tenantRevenueRepository.js</w:t>
            </w:r>
          </w:p>
        </w:tc>
        <w:tc>
          <w:tcPr>
            <w:tcW w:type="dxa" w:w="45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latest/effective policy, create version, close prior version, create audit within one transaction.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Models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TenantRevenueFeePolicy and TenantRevenueTransaction</w:t>
            </w:r>
          </w:p>
        </w:tc>
        <w:tc>
          <w:tcPr>
            <w:tcW w:type="dxa" w:w="45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Remain the financial source of truth; no competing generic settings record.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summary and transaction use cases</w:t>
            </w:r>
          </w:p>
        </w:tc>
        <w:tc>
          <w:tcPr>
            <w:tcW w:type="dxa" w:w="45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Aggregate fee totals by provider source and expose unambiguous fee components.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IMS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apps/dgfy-ims</w:t>
            </w:r>
          </w:p>
        </w:tc>
        <w:tc>
          <w:tcPr>
            <w:tcW w:type="dxa" w:w="45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Not affected. No routes, components, tests, or shared ownership migration are planned here.</w:t>
            </w:r>
          </w:p>
        </w:tc>
      </w:tr>
    </w:tbl>
    <w:p/>
    <w:p>
      <w:pPr>
        <w:pStyle w:val="Heading1"/>
      </w:pPr>
      <w:r>
        <w:t>Source of truth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Source of truth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Derived or snapshot data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Current fallback policy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tenant_revenue_fee_policies.fallback_fee_policy plus version and effective_at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form state and fee-history response</w:t>
            </w:r>
          </w:p>
        </w:tc>
      </w:tr>
      <w:tr>
        <w:tc>
          <w:tcPr>
            <w:tcW w:type="dxa" w:w="22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Actual provider fee</w:t>
            </w:r>
          </w:p>
        </w:tc>
        <w:tc>
          <w:tcPr>
            <w:tcW w:type="dxa" w:w="40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PayMongo webhook, API, or statement financial data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tenant_revenue_transactions.provider_fee_centavos and provider_fee_source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Applied policy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Policy selected by paid_at and stored policy_id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financial_snapshot.policy and calculation fields</w:t>
            </w:r>
          </w:p>
        </w:tc>
      </w:tr>
      <w:tr>
        <w:tc>
          <w:tcPr>
            <w:tcW w:type="dxa" w:w="22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Amount due</w:t>
            </w:r>
          </w:p>
        </w:tc>
        <w:tc>
          <w:tcPr>
            <w:tcW w:type="dxa" w:w="40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calculation and ledger</w:t>
            </w:r>
          </w:p>
        </w:tc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summary totals, transaction DTO, settlement batch totals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authority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Authenticated tenant membership and existing ownership contract</w:t>
            </w:r>
          </w:p>
        </w:tc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capabilities returned to OPIS; never trusted from UI flags</w:t>
            </w:r>
          </w:p>
        </w:tc>
      </w:tr>
    </w:tbl>
    <w:p/>
    <w:p>
      <w:pPr>
        <w:pStyle w:val="Heading1"/>
      </w:pPr>
      <w:r>
        <w:t>API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Method and route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Authorization and response</w:t>
            </w:r>
          </w:p>
        </w:tc>
      </w:tr>
      <w:tr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GET /api/v1/tenant-revenue/tenant/fee-history</w:t>
            </w:r>
          </w:p>
        </w:tc>
        <w:tc>
          <w:tcPr>
            <w:tcW w:type="dxa" w:w="38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effective and historical policy versions.</w:t>
            </w:r>
          </w:p>
        </w:tc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Authenticated tenant report or fee-view capability; server-derived tenant; sanitized response.</w:t>
            </w:r>
          </w:p>
        </w:tc>
      </w:tr>
      <w:tr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POST /api/v1/tenant-revenue/tenant/fee-policies</w:t>
            </w:r>
          </w:p>
        </w:tc>
        <w:tc>
          <w:tcPr>
            <w:tcW w:type="dxa" w:w="38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Create a new fallback-only policy version for the current tenant.</w:t>
            </w:r>
          </w:p>
        </w:tc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Authenticated current Owner plus dedicated fee-policy edit capability; 201 with new version.</w:t>
            </w:r>
          </w:p>
        </w:tc>
      </w:tr>
      <w:tr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GET /api/v1/tenant-revenue/tenant/summary</w:t>
            </w:r>
          </w:p>
        </w:tc>
        <w:tc>
          <w:tcPr>
            <w:tcW w:type="dxa" w:w="38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date-scoped totals and source breakdown.</w:t>
            </w:r>
          </w:p>
        </w:tc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tenant report capability; add provider source totals without changing tenant scope.</w:t>
            </w:r>
          </w:p>
        </w:tc>
      </w:tr>
      <w:tr>
        <w:tc>
          <w:tcPr>
            <w:tcW w:type="dxa" w:w="33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GET /api/v1/tenant-revenue/tenant/transactions</w:t>
            </w:r>
          </w:p>
        </w:tc>
        <w:tc>
          <w:tcPr>
            <w:tcW w:type="dxa" w:w="38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date-scoped transaction rows.</w:t>
            </w:r>
          </w:p>
        </w:tc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tenant report capability; add explicit source, policy, and fee components.</w:t>
            </w:r>
          </w:p>
        </w:tc>
      </w:tr>
      <w:tr>
        <w:tc>
          <w:tcPr>
            <w:tcW w:type="dxa" w:w="33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GET /api/v1/tenant-revenue/tenant/settlements</w:t>
            </w:r>
          </w:p>
        </w:tc>
        <w:tc>
          <w:tcPr>
            <w:tcW w:type="dxa" w:w="38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Read settlement status.</w:t>
            </w:r>
          </w:p>
        </w:tc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tenant report capability; do not make fallback appear settled.</w:t>
            </w:r>
          </w:p>
        </w:tc>
      </w:tr>
    </w:tbl>
    <w:p/>
    <w:p>
      <w:pPr>
        <w:pStyle w:val="Heading1"/>
      </w:pPr>
      <w:r>
        <w:t>Owner mutation request</w:t>
      </w:r>
    </w:p>
    <w:p>
      <w:r>
        <w:t>Recommended request body, after validation and final API naming review: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fallback_fee_policy</w:t>
            </w:r>
          </w:p>
        </w:tc>
        <w:tc>
          <w:tcPr>
            <w:tcW w:type="dxa" w:w="18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object</w:t>
            </w:r>
          </w:p>
        </w:tc>
        <w:tc>
          <w:tcPr>
            <w:tcW w:type="dxa" w:w="52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Only card, ewallet, qrph, online_banking, and other; each has rate_bps and fixed_centavos.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effective_at</w:t>
            </w:r>
          </w:p>
        </w:tc>
        <w:tc>
          <w:tcPr>
            <w:tcW w:type="dxa" w:w="18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ISO timestamp</w:t>
            </w:r>
          </w:p>
        </w:tc>
        <w:tc>
          <w:tcPr>
            <w:tcW w:type="dxa" w:w="52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Required, non-retroactive, later than latest policy.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reason</w:t>
            </w:r>
          </w:p>
        </w:tc>
        <w:tc>
          <w:tcPr>
            <w:tcW w:type="dxa" w:w="18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type="dxa" w:w="52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Required, trimmed, three to five hundred characters.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expected_policy_version</w:t>
            </w:r>
          </w:p>
        </w:tc>
        <w:tc>
          <w:tcPr>
            <w:tcW w:type="dxa" w:w="18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52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Required for optimistic concurrency; must match latest version.</w:t>
            </w:r>
          </w:p>
        </w:tc>
      </w:tr>
    </w:tbl>
    <w:p/>
    <w:p>
      <w:r>
        <w:t>The route must not accept dgfy_rate_bps, provider_fee_payer, shared_fee_tenant_bps, settlement_status, settlement_cycle_days, payout_destination, automatic_payout_enabled, or other platform-controlled fields. If the transport receives them, reject them or strip them and record no mutation; the chosen behavior must be consistent with the API style guide.</w:t>
      </w:r>
    </w:p>
    <w:p>
      <w:pPr>
        <w:pStyle w:val="Heading1"/>
      </w:pPr>
      <w:r>
        <w:t>Response additions</w:t>
      </w:r>
    </w:p>
    <w:p>
      <w:pPr>
        <w:pStyle w:val="ListBullet"/>
      </w:pPr>
      <w:r>
        <w:t>Policy DTO: policy_id, version, fallback_fee_policy, effective_at, ends_at, reason, created_by as an approved non-sensitive actor identifier, editable_fields, and read-only platform policy summary.</w:t>
      </w:r>
    </w:p>
    <w:p>
      <w:pPr>
        <w:pStyle w:val="ListBullet"/>
      </w:pPr>
      <w:r>
        <w:t>Transaction DTO: provider_fee_centavos, provider_fee_source, payment_method, policy_id, policy_version, provider_fee_estimated, provider_fee_vat_centavos when known, tenant_provider_fee_centavos, dgfy_provider_fee_centavos, and tenant_net_payable_centavos.</w:t>
      </w:r>
    </w:p>
    <w:p>
      <w:pPr>
        <w:pStyle w:val="ListBullet"/>
      </w:pPr>
      <w:r>
        <w:t>Summary DTO: provider_fee_centavos plus provider_fee_breakdown keyed by webhook, api, statement, fallback, and manual_review, with estimated and unresolved totals kept distinct.</w:t>
      </w:r>
    </w:p>
    <w:p>
      <w:pPr>
        <w:pStyle w:val="ListBullet"/>
      </w:pPr>
      <w:r>
        <w:t>No payout destination secret, payment provider secret, raw webhook payload, or cross-tenant identifier leaves the endpoint.</w:t>
      </w:r>
    </w:p>
    <w:p>
      <w:pPr>
        <w:pStyle w:val="Heading1"/>
      </w:pPr>
      <w:r>
        <w:t>Error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16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Unauthenticated or expired session</w:t>
            </w:r>
          </w:p>
        </w:tc>
        <w:tc>
          <w:tcPr>
            <w:tcW w:type="dxa" w:w="648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401 or existing authentication response; no policy lookup.</w:t>
            </w:r>
          </w:p>
        </w:tc>
      </w:tr>
      <w:tr>
        <w:tc>
          <w:tcPr>
            <w:tcW w:type="dxa" w:w="316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context missing or mismatched</w:t>
            </w:r>
          </w:p>
        </w:tc>
        <w:tc>
          <w:tcPr>
            <w:tcW w:type="dxa" w:w="648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403; no cross-tenant fallback or policy data.</w:t>
            </w:r>
          </w:p>
        </w:tc>
      </w:tr>
      <w:tr>
        <w:tc>
          <w:tcPr>
            <w:tcW w:type="dxa" w:w="316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capability missing</w:t>
            </w:r>
          </w:p>
        </w:tc>
        <w:tc>
          <w:tcPr>
            <w:tcW w:type="dxa" w:w="648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403 with stable authorization reason; no mutation.</w:t>
            </w:r>
          </w:p>
        </w:tc>
      </w:tr>
      <w:tr>
        <w:tc>
          <w:tcPr>
            <w:tcW w:type="dxa" w:w="316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Invalid rate, fixed amount, method, date, reason, or unknown field</w:t>
            </w:r>
          </w:p>
        </w:tc>
        <w:tc>
          <w:tcPr>
            <w:tcW w:type="dxa" w:w="648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422 validation response with field-level errors.</w:t>
            </w:r>
          </w:p>
        </w:tc>
      </w:tr>
      <w:tr>
        <w:tc>
          <w:tcPr>
            <w:tcW w:type="dxa" w:w="316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Expected version stale or effective date conflicts</w:t>
            </w:r>
          </w:p>
        </w:tc>
        <w:tc>
          <w:tcPr>
            <w:tcW w:type="dxa" w:w="648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409; return latest version metadata without sensitive data.</w:t>
            </w:r>
          </w:p>
        </w:tc>
      </w:tr>
      <w:tr>
        <w:tc>
          <w:tcPr>
            <w:tcW w:type="dxa" w:w="316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 effective policy for a payment</w:t>
            </w:r>
          </w:p>
        </w:tc>
        <w:tc>
          <w:tcPr>
            <w:tcW w:type="dxa" w:w="648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Transaction remains visibly unresolved; no invented zero provider fee.</w:t>
            </w:r>
          </w:p>
        </w:tc>
      </w:tr>
    </w:tbl>
    <w:p/>
    <w:p>
      <w:pPr>
        <w:pStyle w:val="Heading1"/>
      </w:pPr>
      <w:r>
        <w:t>Architecture decisions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ADR item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ADR-001</w:t>
            </w:r>
          </w:p>
        </w:tc>
        <w:tc>
          <w:tcPr>
            <w:tcW w:type="dxa" w:w="792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Amend ADR 0052 to authorize tenant Owner fallback-only policy mutation while retaining read-only statements and platform-controlled settlement fields.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ADR-002</w:t>
            </w:r>
          </w:p>
        </w:tc>
        <w:tc>
          <w:tcPr>
            <w:tcW w:type="dxa" w:w="792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OPIS as the dedicated Back Office target under ADR 0087. Do not edit IMS or add a second owner settings surface there.</w:t>
            </w:r>
          </w:p>
        </w:tc>
      </w:tr>
      <w:tr>
        <w:tc>
          <w:tcPr>
            <w:tcW w:type="dxa" w:w="17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ADR-003</w:t>
            </w:r>
          </w:p>
        </w:tc>
        <w:tc>
          <w:tcPr>
            <w:tcW w:type="dxa" w:w="792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Do not introduce a new generic SystemSetting key for provider processing fees; the financial policy belongs in the versioned tenant revenue policy.</w:t>
            </w:r>
          </w:p>
        </w:tc>
      </w:tr>
      <w:tr>
        <w:tc>
          <w:tcPr>
            <w:tcW w:type="dxa" w:w="17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ADR-004</w:t>
            </w:r>
          </w:p>
        </w:tc>
        <w:tc>
          <w:tcPr>
            <w:tcW w:type="dxa" w:w="792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Do not change customer-facing pricing. If a customer surcharge is later required, create a separate pricing ADR and contract.</w:t>
            </w:r>
          </w:p>
        </w:tc>
      </w:tr>
    </w:tbl>
    <w:p/>
    <w:p>
      <w:pPr>
        <w:spacing w:before="160"/>
      </w:pPr>
      <w:r>
        <w:rPr>
          <w:i/>
          <w:color w:val="52606D"/>
          <w:sz w:val="17"/>
        </w:rPr>
        <w:t>The exact route name may be adjusted during implementation only if the final contract preserves the same tenant scope, field allowlist, versioning, and source semantics.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