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Configurable Payment Processing Fee</w:t>
      </w:r>
    </w:p>
    <w:p>
      <w:pPr>
        <w:spacing w:after="160"/>
      </w:pPr>
      <w:r>
        <w:rPr>
          <w:b/>
          <w:color w:val="0F766E"/>
          <w:sz w:val="22"/>
        </w:rPr>
        <w:t>Data and Transaction Plan</w:t>
      </w:r>
    </w:p>
    <w:tbl>
      <w:tblPr>
        <w:tblW w:type="auto" w:w="0"/>
        <w:tblLayout w:type="autofit"/>
        <w:tblLook w:firstColumn="1" w:firstRow="1" w:lastColumn="0" w:lastRow="0" w:noHBand="0" w:noVBand="1" w:val="04A0"/>
      </w:tblPr>
      <w:tblGrid>
        <w:gridCol w:w="5083"/>
        <w:gridCol w:w="5083"/>
      </w:tblGrid>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Project name</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POS-DGFY</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Plan version</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1.0</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Section</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04  Data and Transaction Plan</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Purpose</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Specify how policy versions, transaction snapshots, ledger entries, reconciliation, and migration preserve financial integrity.</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Dependencies</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Sections 02 and 03; tenant revenue models and migration; ADR 0052 ledger rules.</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Implementation status</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Planning only. No application code is changed by this plan.</w:t>
            </w:r>
          </w:p>
        </w:tc>
      </w:tr>
    </w:tbl>
    <w:p/>
    <w:p>
      <w:pPr>
        <w:pStyle w:val="Heading1"/>
      </w:pPr>
      <w:r>
        <w:t>Data impact summary</w:t>
      </w:r>
    </w:p>
    <w:tbl>
      <w:tblPr>
        <w:tblW w:type="auto" w:w="0"/>
        <w:tblLayout w:type="autofit"/>
        <w:tblLook w:firstColumn="1" w:firstRow="1" w:lastColumn="0" w:lastRow="0" w:noHBand="0" w:noVBand="1" w:val="04A0"/>
      </w:tblPr>
      <w:tblGrid>
        <w:gridCol w:w="3389"/>
        <w:gridCol w:w="3389"/>
        <w:gridCol w:w="3389"/>
      </w:tblGrid>
      <w:tr>
        <w:tc>
          <w:tcPr>
            <w:tcW w:type="dxa" w:w="3389"/>
            <w:shd w:fill="153B50"/>
            <w:tcBorders>
              <w:top w:val="single" w:sz="6" w:color="153B50"/>
              <w:left w:val="single" w:sz="4" w:color="FFFFFF"/>
              <w:bottom w:val="single" w:sz="6" w:color="153B50"/>
              <w:right w:val="single" w:sz="4" w:color="FFFFFF"/>
            </w:tcBorders>
          </w:tcPr>
          <w:p>
            <w:r>
              <w:rPr>
                <w:b/>
                <w:color w:val="FFFFFF"/>
                <w:sz w:val="17"/>
              </w:rPr>
              <w:t>Data object</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Existing evidence</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Plan</w:t>
            </w:r>
          </w:p>
        </w:tc>
      </w:tr>
      <w:tr>
        <w:tc>
          <w:tcPr>
            <w:tcW w:type="dxa" w:w="2304"/>
            <w:shd w:fill="F8FAFC"/>
            <w:tcBorders>
              <w:top w:val="single" w:sz="3" w:color="D9E2EC"/>
              <w:left w:val="single" w:sz="3" w:color="D9E2EC"/>
              <w:bottom w:val="single" w:sz="3" w:color="D9E2EC"/>
              <w:right w:val="single" w:sz="3" w:color="D9E2EC"/>
            </w:tcBorders>
          </w:tcPr>
          <w:p>
            <w:pPr>
              <w:spacing w:after="20"/>
            </w:pPr>
            <w:r>
              <w:rPr>
                <w:sz w:val="16"/>
              </w:rPr>
              <w:t>TenantRevenueFeePolicy</w:t>
            </w:r>
          </w:p>
        </w:tc>
        <w:tc>
          <w:tcPr>
            <w:tcW w:type="dxa" w:w="3816"/>
            <w:shd w:fill="F8FAFC"/>
            <w:tcBorders>
              <w:top w:val="single" w:sz="3" w:color="D9E2EC"/>
              <w:left w:val="single" w:sz="3" w:color="D9E2EC"/>
              <w:bottom w:val="single" w:sz="3" w:color="D9E2EC"/>
              <w:right w:val="single" w:sz="3" w:color="D9E2EC"/>
            </w:tcBorders>
          </w:tcPr>
          <w:p>
            <w:pPr>
              <w:spacing w:after="20"/>
            </w:pPr>
            <w:r>
              <w:rPr>
                <w:sz w:val="16"/>
              </w:rPr>
              <w:t>Versioned landlord row with fallback_fee_policy JSON, effective_at, ends_at, reason, created_by.</w:t>
            </w:r>
          </w:p>
        </w:tc>
        <w:tc>
          <w:tcPr>
            <w:tcW w:type="dxa" w:w="3528"/>
            <w:shd w:fill="F8FAFC"/>
            <w:tcBorders>
              <w:top w:val="single" w:sz="3" w:color="D9E2EC"/>
              <w:left w:val="single" w:sz="3" w:color="D9E2EC"/>
              <w:bottom w:val="single" w:sz="3" w:color="D9E2EC"/>
              <w:right w:val="single" w:sz="3" w:color="D9E2EC"/>
            </w:tcBorders>
          </w:tcPr>
          <w:p>
            <w:pPr>
              <w:spacing w:after="20"/>
            </w:pPr>
            <w:r>
              <w:rPr>
                <w:sz w:val="16"/>
              </w:rPr>
              <w:t>Reuse and extend through a fallback-only Owner use case. No competing table.</w:t>
            </w:r>
          </w:p>
        </w:tc>
      </w:tr>
      <w:tr>
        <w:tc>
          <w:tcPr>
            <w:tcW w:type="dxa" w:w="2304"/>
            <w:tcBorders>
              <w:top w:val="single" w:sz="3" w:color="D9E2EC"/>
              <w:left w:val="single" w:sz="3" w:color="D9E2EC"/>
              <w:bottom w:val="single" w:sz="3" w:color="D9E2EC"/>
              <w:right w:val="single" w:sz="3" w:color="D9E2EC"/>
            </w:tcBorders>
          </w:tcPr>
          <w:p>
            <w:pPr>
              <w:spacing w:after="20"/>
            </w:pPr>
            <w:r>
              <w:rPr>
                <w:sz w:val="16"/>
              </w:rPr>
              <w:t>TenantRevenueTransaction</w:t>
            </w:r>
          </w:p>
        </w:tc>
        <w:tc>
          <w:tcPr>
            <w:tcW w:type="dxa" w:w="3816"/>
            <w:tcBorders>
              <w:top w:val="single" w:sz="3" w:color="D9E2EC"/>
              <w:left w:val="single" w:sz="3" w:color="D9E2EC"/>
              <w:bottom w:val="single" w:sz="3" w:color="D9E2EC"/>
              <w:right w:val="single" w:sz="3" w:color="D9E2EC"/>
            </w:tcBorders>
          </w:tcPr>
          <w:p>
            <w:pPr>
              <w:spacing w:after="20"/>
            </w:pPr>
            <w:r>
              <w:rPr>
                <w:sz w:val="16"/>
              </w:rPr>
              <w:t>provider_fee_centavos, provider_fee_source, policy_id, financial_snapshot, tenant and DGFY fee allocations.</w:t>
            </w:r>
          </w:p>
        </w:tc>
        <w:tc>
          <w:tcPr>
            <w:tcW w:type="dxa" w:w="3528"/>
            <w:tcBorders>
              <w:top w:val="single" w:sz="3" w:color="D9E2EC"/>
              <w:left w:val="single" w:sz="3" w:color="D9E2EC"/>
              <w:bottom w:val="single" w:sz="3" w:color="D9E2EC"/>
              <w:right w:val="single" w:sz="3" w:color="D9E2EC"/>
            </w:tcBorders>
          </w:tcPr>
          <w:p>
            <w:pPr>
              <w:spacing w:after="20"/>
            </w:pPr>
            <w:r>
              <w:rPr>
                <w:sz w:val="16"/>
              </w:rPr>
              <w:t>Keep existing scalar fields; enrich the snapshot and response with an explicit estimate/source indicator if needed.</w:t>
            </w:r>
          </w:p>
        </w:tc>
      </w:tr>
      <w:tr>
        <w:tc>
          <w:tcPr>
            <w:tcW w:type="dxa" w:w="2304"/>
            <w:shd w:fill="F8FAFC"/>
            <w:tcBorders>
              <w:top w:val="single" w:sz="3" w:color="D9E2EC"/>
              <w:left w:val="single" w:sz="3" w:color="D9E2EC"/>
              <w:bottom w:val="single" w:sz="3" w:color="D9E2EC"/>
              <w:right w:val="single" w:sz="3" w:color="D9E2EC"/>
            </w:tcBorders>
          </w:tcPr>
          <w:p>
            <w:pPr>
              <w:spacing w:after="20"/>
            </w:pPr>
            <w:r>
              <w:rPr>
                <w:sz w:val="16"/>
              </w:rPr>
              <w:t>TenantRevenueLedgerEntry</w:t>
            </w:r>
          </w:p>
        </w:tc>
        <w:tc>
          <w:tcPr>
            <w:tcW w:type="dxa" w:w="3816"/>
            <w:shd w:fill="F8FAFC"/>
            <w:tcBorders>
              <w:top w:val="single" w:sz="3" w:color="D9E2EC"/>
              <w:left w:val="single" w:sz="3" w:color="D9E2EC"/>
              <w:bottom w:val="single" w:sz="3" w:color="D9E2EC"/>
              <w:right w:val="single" w:sz="3" w:color="D9E2EC"/>
            </w:tcBorders>
          </w:tcPr>
          <w:p>
            <w:pPr>
              <w:spacing w:after="20"/>
            </w:pPr>
            <w:r>
              <w:rPr>
                <w:sz w:val="16"/>
              </w:rPr>
              <w:t>Immutable double-entry entries for payment, platform fee, provider fee, refunds, chargebacks, and adjustments.</w:t>
            </w:r>
          </w:p>
        </w:tc>
        <w:tc>
          <w:tcPr>
            <w:tcW w:type="dxa" w:w="3528"/>
            <w:shd w:fill="F8FAFC"/>
            <w:tcBorders>
              <w:top w:val="single" w:sz="3" w:color="D9E2EC"/>
              <w:left w:val="single" w:sz="3" w:color="D9E2EC"/>
              <w:bottom w:val="single" w:sz="3" w:color="D9E2EC"/>
              <w:right w:val="single" w:sz="3" w:color="D9E2EC"/>
            </w:tcBorders>
          </w:tcPr>
          <w:p>
            <w:pPr>
              <w:spacing w:after="20"/>
            </w:pPr>
            <w:r>
              <w:rPr>
                <w:sz w:val="16"/>
              </w:rPr>
              <w:t>Keep ledger immutable. Mark fallback provider-fee entries as provisional in metadata if finance approves the hold model; actual reconciliation posts a delta.</w:t>
            </w:r>
          </w:p>
        </w:tc>
      </w:tr>
      <w:tr>
        <w:tc>
          <w:tcPr>
            <w:tcW w:type="dxa" w:w="2304"/>
            <w:tcBorders>
              <w:top w:val="single" w:sz="3" w:color="D9E2EC"/>
              <w:left w:val="single" w:sz="3" w:color="D9E2EC"/>
              <w:bottom w:val="single" w:sz="3" w:color="D9E2EC"/>
              <w:right w:val="single" w:sz="3" w:color="D9E2EC"/>
            </w:tcBorders>
          </w:tcPr>
          <w:p>
            <w:pPr>
              <w:spacing w:after="20"/>
            </w:pPr>
            <w:r>
              <w:rPr>
                <w:sz w:val="16"/>
              </w:rPr>
              <w:t>Reconciliation record</w:t>
            </w:r>
          </w:p>
        </w:tc>
        <w:tc>
          <w:tcPr>
            <w:tcW w:type="dxa" w:w="3816"/>
            <w:tcBorders>
              <w:top w:val="single" w:sz="3" w:color="D9E2EC"/>
              <w:left w:val="single" w:sz="3" w:color="D9E2EC"/>
              <w:bottom w:val="single" w:sz="3" w:color="D9E2EC"/>
              <w:right w:val="single" w:sz="3" w:color="D9E2EC"/>
            </w:tcBorders>
          </w:tcPr>
          <w:p>
            <w:pPr>
              <w:spacing w:after="20"/>
            </w:pPr>
            <w:r>
              <w:rPr>
                <w:sz w:val="16"/>
              </w:rPr>
              <w:t>Existing exception and provider financial reconciliation records.</w:t>
            </w:r>
          </w:p>
        </w:tc>
        <w:tc>
          <w:tcPr>
            <w:tcW w:type="dxa" w:w="3528"/>
            <w:tcBorders>
              <w:top w:val="single" w:sz="3" w:color="D9E2EC"/>
              <w:left w:val="single" w:sz="3" w:color="D9E2EC"/>
              <w:bottom w:val="single" w:sz="3" w:color="D9E2EC"/>
              <w:right w:val="single" w:sz="3" w:color="D9E2EC"/>
            </w:tcBorders>
          </w:tcPr>
          <w:p>
            <w:pPr>
              <w:spacing w:after="20"/>
            </w:pPr>
            <w:r>
              <w:rPr>
                <w:sz w:val="16"/>
              </w:rPr>
              <w:t>Use it for fallback-to-actual correction and source evidence. Do not overwrite history silently.</w:t>
            </w:r>
          </w:p>
        </w:tc>
      </w:tr>
      <w:tr>
        <w:tc>
          <w:tcPr>
            <w:tcW w:type="dxa" w:w="2304"/>
            <w:shd w:fill="F8FAFC"/>
            <w:tcBorders>
              <w:top w:val="single" w:sz="3" w:color="D9E2EC"/>
              <w:left w:val="single" w:sz="3" w:color="D9E2EC"/>
              <w:bottom w:val="single" w:sz="3" w:color="D9E2EC"/>
              <w:right w:val="single" w:sz="3" w:color="D9E2EC"/>
            </w:tcBorders>
          </w:tcPr>
          <w:p>
            <w:pPr>
              <w:spacing w:after="20"/>
            </w:pPr>
            <w:r>
              <w:rPr>
                <w:sz w:val="16"/>
              </w:rPr>
              <w:t>Audit log</w:t>
            </w:r>
          </w:p>
        </w:tc>
        <w:tc>
          <w:tcPr>
            <w:tcW w:type="dxa" w:w="3816"/>
            <w:shd w:fill="F8FAFC"/>
            <w:tcBorders>
              <w:top w:val="single" w:sz="3" w:color="D9E2EC"/>
              <w:left w:val="single" w:sz="3" w:color="D9E2EC"/>
              <w:bottom w:val="single" w:sz="3" w:color="D9E2EC"/>
              <w:right w:val="single" w:sz="3" w:color="D9E2EC"/>
            </w:tcBorders>
          </w:tcPr>
          <w:p>
            <w:pPr>
              <w:spacing w:after="20"/>
            </w:pPr>
            <w:r>
              <w:rPr>
                <w:sz w:val="16"/>
              </w:rPr>
              <w:t>Policy creation and provider reconciliation already write actor and change details.</w:t>
            </w:r>
          </w:p>
        </w:tc>
        <w:tc>
          <w:tcPr>
            <w:tcW w:type="dxa" w:w="3528"/>
            <w:shd w:fill="F8FAFC"/>
            <w:tcBorders>
              <w:top w:val="single" w:sz="3" w:color="D9E2EC"/>
              <w:left w:val="single" w:sz="3" w:color="D9E2EC"/>
              <w:bottom w:val="single" w:sz="3" w:color="D9E2EC"/>
              <w:right w:val="single" w:sz="3" w:color="D9E2EC"/>
            </w:tcBorders>
          </w:tcPr>
          <w:p>
            <w:pPr>
              <w:spacing w:after="20"/>
            </w:pPr>
            <w:r>
              <w:rPr>
                <w:sz w:val="16"/>
              </w:rPr>
              <w:t>Add fallback-only Owner event with old/new values, reason, effective date, and request context.</w:t>
            </w:r>
          </w:p>
        </w:tc>
      </w:tr>
    </w:tbl>
    <w:p/>
    <w:p>
      <w:pPr>
        <w:pStyle w:val="Heading1"/>
      </w:pPr>
      <w:r>
        <w:t>Policy versioning rules</w:t>
      </w:r>
    </w:p>
    <w:p>
      <w:pPr>
        <w:pStyle w:val="ListBullet"/>
      </w:pPr>
      <w:r>
        <w:t>A save creates a new version; it never updates a policy already used by a posted payment.</w:t>
      </w:r>
    </w:p>
    <w:p>
      <w:pPr>
        <w:pStyle w:val="ListBullet"/>
      </w:pPr>
      <w:r>
        <w:t>The database transaction locks the latest tenant policy before comparing expected_policy_version and effective_at.</w:t>
      </w:r>
    </w:p>
    <w:p>
      <w:pPr>
        <w:pStyle w:val="ListBullet"/>
      </w:pPr>
      <w:r>
        <w:t>The prior open policy receives ends_at one millisecond before the new effective_at, using the existing version-closing pattern.</w:t>
      </w:r>
    </w:p>
    <w:p>
      <w:pPr>
        <w:pStyle w:val="ListBullet"/>
      </w:pPr>
      <w:r>
        <w:t>Owner mutation copies platform-controlled values from the latest policy unchanged. Only fallback_fee_policy, effective_at, reason, version, actor, and timestamps change.</w:t>
      </w:r>
    </w:p>
    <w:p>
      <w:pPr>
        <w:pStyle w:val="ListBullet"/>
      </w:pPr>
      <w:r>
        <w:t>If no platform policy exists, Owner editing is disabled and the UI asks the Owner to contact platform finance. A safe on-hold policy must be seeded through the approved finance path before the Owner can edit fallback fields.</w:t>
      </w:r>
    </w:p>
    <w:p>
      <w:pPr>
        <w:pStyle w:val="Heading1"/>
      </w:pPr>
      <w:r>
        <w:t>Payment calculation and source semantics</w:t>
      </w:r>
    </w:p>
    <w:tbl>
      <w:tblPr>
        <w:tblW w:type="auto" w:w="0"/>
        <w:tblLayout w:type="autofit"/>
        <w:tblLook w:firstColumn="1" w:firstRow="1" w:lastColumn="0" w:lastRow="0" w:noHBand="0" w:noVBand="1" w:val="04A0"/>
      </w:tblPr>
      <w:tblGrid>
        <w:gridCol w:w="3389"/>
        <w:gridCol w:w="3389"/>
        <w:gridCol w:w="3389"/>
      </w:tblGrid>
      <w:tr>
        <w:tc>
          <w:tcPr>
            <w:tcW w:type="dxa" w:w="3389"/>
            <w:shd w:fill="153B50"/>
            <w:tcBorders>
              <w:top w:val="single" w:sz="6" w:color="153B50"/>
              <w:left w:val="single" w:sz="4" w:color="FFFFFF"/>
              <w:bottom w:val="single" w:sz="6" w:color="153B50"/>
              <w:right w:val="single" w:sz="4" w:color="FFFFFF"/>
            </w:tcBorders>
          </w:tcPr>
          <w:p>
            <w:r>
              <w:rPr>
                <w:b/>
                <w:color w:val="FFFFFF"/>
                <w:sz w:val="17"/>
              </w:rPr>
              <w:t>Input state</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Provider fee result</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Reconciliation and display</w:t>
            </w:r>
          </w:p>
        </w:tc>
      </w:tr>
      <w:tr>
        <w:tc>
          <w:tcPr>
            <w:tcW w:type="dxa" w:w="2952"/>
            <w:shd w:fill="F8FAFC"/>
            <w:tcBorders>
              <w:top w:val="single" w:sz="3" w:color="D9E2EC"/>
              <w:left w:val="single" w:sz="3" w:color="D9E2EC"/>
              <w:bottom w:val="single" w:sz="3" w:color="D9E2EC"/>
              <w:right w:val="single" w:sz="3" w:color="D9E2EC"/>
            </w:tcBorders>
          </w:tcPr>
          <w:p>
            <w:pPr>
              <w:spacing w:after="20"/>
            </w:pPr>
            <w:r>
              <w:rPr>
                <w:sz w:val="16"/>
              </w:rPr>
              <w:t>Actual provider fee present</w:t>
            </w:r>
          </w:p>
        </w:tc>
        <w:tc>
          <w:tcPr>
            <w:tcW w:type="dxa" w:w="3672"/>
            <w:shd w:fill="F8FAFC"/>
            <w:tcBorders>
              <w:top w:val="single" w:sz="3" w:color="D9E2EC"/>
              <w:left w:val="single" w:sz="3" w:color="D9E2EC"/>
              <w:bottom w:val="single" w:sz="3" w:color="D9E2EC"/>
              <w:right w:val="single" w:sz="3" w:color="D9E2EC"/>
            </w:tcBorders>
          </w:tcPr>
          <w:p>
            <w:pPr>
              <w:spacing w:after="20"/>
            </w:pPr>
            <w:r>
              <w:rPr>
                <w:sz w:val="16"/>
              </w:rPr>
              <w:t>Use exact fee; source webhook, API, or statement according to evidence.</w:t>
            </w:r>
          </w:p>
        </w:tc>
        <w:tc>
          <w:tcPr>
            <w:tcW w:type="dxa" w:w="3024"/>
            <w:shd w:fill="F8FAFC"/>
            <w:tcBorders>
              <w:top w:val="single" w:sz="3" w:color="D9E2EC"/>
              <w:left w:val="single" w:sz="3" w:color="D9E2EC"/>
              <w:bottom w:val="single" w:sz="3" w:color="D9E2EC"/>
              <w:right w:val="single" w:sz="3" w:color="D9E2EC"/>
            </w:tcBorders>
          </w:tcPr>
          <w:p>
            <w:pPr>
              <w:spacing w:after="20"/>
            </w:pPr>
            <w:r>
              <w:rPr>
                <w:sz w:val="16"/>
              </w:rPr>
              <w:t>Actual badge; normal reconciliation rules.</w:t>
            </w:r>
          </w:p>
        </w:tc>
      </w:tr>
      <w:tr>
        <w:tc>
          <w:tcPr>
            <w:tcW w:type="dxa" w:w="2952"/>
            <w:tcBorders>
              <w:top w:val="single" w:sz="3" w:color="D9E2EC"/>
              <w:left w:val="single" w:sz="3" w:color="D9E2EC"/>
              <w:bottom w:val="single" w:sz="3" w:color="D9E2EC"/>
              <w:right w:val="single" w:sz="3" w:color="D9E2EC"/>
            </w:tcBorders>
          </w:tcPr>
          <w:p>
            <w:pPr>
              <w:spacing w:after="20"/>
            </w:pPr>
            <w:r>
              <w:rPr>
                <w:sz w:val="16"/>
              </w:rPr>
              <w:t>Actual absent and exact fallback configured</w:t>
            </w:r>
          </w:p>
        </w:tc>
        <w:tc>
          <w:tcPr>
            <w:tcW w:type="dxa" w:w="3672"/>
            <w:tcBorders>
              <w:top w:val="single" w:sz="3" w:color="D9E2EC"/>
              <w:left w:val="single" w:sz="3" w:color="D9E2EC"/>
              <w:bottom w:val="single" w:sz="3" w:color="D9E2EC"/>
              <w:right w:val="single" w:sz="3" w:color="D9E2EC"/>
            </w:tcBorders>
          </w:tcPr>
          <w:p>
            <w:pPr>
              <w:spacing w:after="20"/>
            </w:pPr>
            <w:r>
              <w:rPr>
                <w:sz w:val="16"/>
              </w:rPr>
              <w:t>Use rate and fixed centavos for the normalized payment method.</w:t>
            </w:r>
          </w:p>
        </w:tc>
        <w:tc>
          <w:tcPr>
            <w:tcW w:type="dxa" w:w="3024"/>
            <w:tcBorders>
              <w:top w:val="single" w:sz="3" w:color="D9E2EC"/>
              <w:left w:val="single" w:sz="3" w:color="D9E2EC"/>
              <w:bottom w:val="single" w:sz="3" w:color="D9E2EC"/>
              <w:right w:val="single" w:sz="3" w:color="D9E2EC"/>
            </w:tcBorders>
          </w:tcPr>
          <w:p>
            <w:pPr>
              <w:spacing w:after="20"/>
            </w:pPr>
            <w:r>
              <w:rPr>
                <w:sz w:val="16"/>
              </w:rPr>
              <w:t>Estimated fallback badge; recommended on hold or exception until actual/reconciled evidence.</w:t>
            </w:r>
          </w:p>
        </w:tc>
      </w:tr>
      <w:tr>
        <w:tc>
          <w:tcPr>
            <w:tcW w:type="dxa" w:w="2952"/>
            <w:shd w:fill="F8FAFC"/>
            <w:tcBorders>
              <w:top w:val="single" w:sz="3" w:color="D9E2EC"/>
              <w:left w:val="single" w:sz="3" w:color="D9E2EC"/>
              <w:bottom w:val="single" w:sz="3" w:color="D9E2EC"/>
              <w:right w:val="single" w:sz="3" w:color="D9E2EC"/>
            </w:tcBorders>
          </w:tcPr>
          <w:p>
            <w:pPr>
              <w:spacing w:after="20"/>
            </w:pPr>
            <w:r>
              <w:rPr>
                <w:sz w:val="16"/>
              </w:rPr>
              <w:t>Actual absent and no fallback</w:t>
            </w:r>
          </w:p>
        </w:tc>
        <w:tc>
          <w:tcPr>
            <w:tcW w:type="dxa" w:w="3672"/>
            <w:shd w:fill="F8FAFC"/>
            <w:tcBorders>
              <w:top w:val="single" w:sz="3" w:color="D9E2EC"/>
              <w:left w:val="single" w:sz="3" w:color="D9E2EC"/>
              <w:bottom w:val="single" w:sz="3" w:color="D9E2EC"/>
              <w:right w:val="single" w:sz="3" w:color="D9E2EC"/>
            </w:tcBorders>
          </w:tcPr>
          <w:p>
            <w:pPr>
              <w:spacing w:after="20"/>
            </w:pPr>
            <w:r>
              <w:rPr>
                <w:sz w:val="16"/>
              </w:rPr>
              <w:t>provider_fee_centavos remains null; do not convert to zero.</w:t>
            </w:r>
          </w:p>
        </w:tc>
        <w:tc>
          <w:tcPr>
            <w:tcW w:type="dxa" w:w="3024"/>
            <w:shd w:fill="F8FAFC"/>
            <w:tcBorders>
              <w:top w:val="single" w:sz="3" w:color="D9E2EC"/>
              <w:left w:val="single" w:sz="3" w:color="D9E2EC"/>
              <w:bottom w:val="single" w:sz="3" w:color="D9E2EC"/>
              <w:right w:val="single" w:sz="3" w:color="D9E2EC"/>
            </w:tcBorders>
          </w:tcPr>
          <w:p>
            <w:pPr>
              <w:spacing w:after="20"/>
            </w:pPr>
            <w:r>
              <w:rPr>
                <w:sz w:val="16"/>
              </w:rPr>
              <w:t>Manual review badge; settlement cannot be eligible.</w:t>
            </w:r>
          </w:p>
        </w:tc>
      </w:tr>
      <w:tr>
        <w:tc>
          <w:tcPr>
            <w:tcW w:type="dxa" w:w="2952"/>
            <w:tcBorders>
              <w:top w:val="single" w:sz="3" w:color="D9E2EC"/>
              <w:left w:val="single" w:sz="3" w:color="D9E2EC"/>
              <w:bottom w:val="single" w:sz="3" w:color="D9E2EC"/>
              <w:right w:val="single" w:sz="3" w:color="D9E2EC"/>
            </w:tcBorders>
          </w:tcPr>
          <w:p>
            <w:pPr>
              <w:spacing w:after="20"/>
            </w:pPr>
            <w:r>
              <w:rPr>
                <w:sz w:val="16"/>
              </w:rPr>
              <w:t>Later provider statement arrives</w:t>
            </w:r>
          </w:p>
        </w:tc>
        <w:tc>
          <w:tcPr>
            <w:tcW w:type="dxa" w:w="3672"/>
            <w:tcBorders>
              <w:top w:val="single" w:sz="3" w:color="D9E2EC"/>
              <w:left w:val="single" w:sz="3" w:color="D9E2EC"/>
              <w:bottom w:val="single" w:sz="3" w:color="D9E2EC"/>
              <w:right w:val="single" w:sz="3" w:color="D9E2EC"/>
            </w:tcBorders>
          </w:tcPr>
          <w:p>
            <w:pPr>
              <w:spacing w:after="20"/>
            </w:pPr>
            <w:r>
              <w:rPr>
                <w:sz w:val="16"/>
              </w:rPr>
              <w:t>Replace estimate with actual/reconciled fee and calculate delta.</w:t>
            </w:r>
          </w:p>
        </w:tc>
        <w:tc>
          <w:tcPr>
            <w:tcW w:type="dxa" w:w="3024"/>
            <w:tcBorders>
              <w:top w:val="single" w:sz="3" w:color="D9E2EC"/>
              <w:left w:val="single" w:sz="3" w:color="D9E2EC"/>
              <w:bottom w:val="single" w:sz="3" w:color="D9E2EC"/>
              <w:right w:val="single" w:sz="3" w:color="D9E2EC"/>
            </w:tcBorders>
          </w:tcPr>
          <w:p>
            <w:pPr>
              <w:spacing w:after="20"/>
            </w:pPr>
            <w:r>
              <w:rPr>
                <w:sz w:val="16"/>
              </w:rPr>
              <w:t>Audit old/new values and immutable adjustment entries; show reconciled source.</w:t>
            </w:r>
          </w:p>
        </w:tc>
      </w:tr>
    </w:tbl>
    <w:p/>
    <w:tbl>
      <w:tblPr>
        <w:tblW w:type="auto" w:w="0"/>
        <w:tblLook w:firstColumn="1" w:firstRow="1" w:lastColumn="0" w:lastRow="0" w:noHBand="0" w:noVBand="1" w:val="04A0"/>
      </w:tblPr>
      <w:tblGrid>
        <w:gridCol w:w="10166"/>
      </w:tblGrid>
      <w:tr>
        <w:tc>
          <w:tcPr>
            <w:tcW w:type="dxa" w:w="10166"/>
            <w:shd w:fill="FDECEC"/>
            <w:tcBorders>
              <w:top w:val="single" w:sz="6" w:color="D9B44A"/>
              <w:left w:val="single" w:sz="12" w:color="0F766E"/>
              <w:bottom w:val="single" w:sz="6" w:color="D9B44A"/>
              <w:right w:val="single" w:sz="6" w:color="D9B44A"/>
            </w:tcBorders>
          </w:tcPr>
          <w:p>
            <w:r>
              <w:rPr>
                <w:b/>
                <w:color w:val="153B50"/>
              </w:rPr>
              <w:t xml:space="preserve">Financial safeguard  </w:t>
            </w:r>
            <w:r>
              <w:t>The current calculation stores a fallback amount and a fallback source. The implementation must verify whether the current reconciliation flag can incorrectly treat that estimate as reconciled. If it can, correct the status transition so an estimate cannot enter an eligible settlement batch until the approved finance rule is satisfied.</w:t>
            </w:r>
          </w:p>
        </w:tc>
      </w:tr>
    </w:tbl>
    <w:p/>
    <w:p>
      <w:pPr>
        <w:pStyle w:val="Heading1"/>
      </w:pPr>
      <w:r>
        <w:t>Snapshot contract</w:t>
      </w:r>
    </w:p>
    <w:p>
      <w:r>
        <w:t>Every new revenue transaction must preserve enough evidence to explain the fee without re-reading today's configuration:</w:t>
      </w:r>
    </w:p>
    <w:p>
      <w:pPr>
        <w:pStyle w:val="ListBullet"/>
      </w:pPr>
      <w:r>
        <w:t>payment method after normalization</w:t>
      </w:r>
    </w:p>
    <w:p>
      <w:pPr>
        <w:pStyle w:val="ListBullet"/>
      </w:pPr>
      <w:r>
        <w:t>provider fee amount and source</w:t>
      </w:r>
    </w:p>
    <w:p>
      <w:pPr>
        <w:pStyle w:val="ListBullet"/>
      </w:pPr>
      <w:r>
        <w:t>provider fee VAT only when supplied by provider or statement</w:t>
      </w:r>
    </w:p>
    <w:p>
      <w:pPr>
        <w:pStyle w:val="ListBullet"/>
      </w:pPr>
      <w:r>
        <w:t>fallback rate_bps and fixed_centavos when fallback was used</w:t>
      </w:r>
    </w:p>
    <w:p>
      <w:pPr>
        <w:pStyle w:val="ListBullet"/>
      </w:pPr>
      <w:r>
        <w:t>policy_id, policy version, effective_at, and a sanitized policy snapshot</w:t>
      </w:r>
    </w:p>
    <w:p>
      <w:pPr>
        <w:pStyle w:val="ListBullet"/>
      </w:pPr>
      <w:r>
        <w:t>gross amount, DGFY fee, tenant provider fee share, DGFY provider fee share, and tenant net payable</w:t>
      </w:r>
    </w:p>
    <w:p>
      <w:pPr>
        <w:pStyle w:val="ListBullet"/>
      </w:pPr>
      <w:r>
        <w:t>source event or statement reference where available</w:t>
      </w:r>
    </w:p>
    <w:p>
      <w:pPr>
        <w:pStyle w:val="Heading1"/>
      </w:pPr>
      <w:r>
        <w:t>Migration plan</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153B50"/>
            <w:tcBorders>
              <w:top w:val="single" w:sz="6" w:color="153B50"/>
              <w:left w:val="single" w:sz="4" w:color="FFFFFF"/>
              <w:bottom w:val="single" w:sz="6" w:color="153B50"/>
              <w:right w:val="single" w:sz="4" w:color="FFFFFF"/>
            </w:tcBorders>
          </w:tcPr>
          <w:p>
            <w:r>
              <w:rPr>
                <w:b/>
                <w:color w:val="FFFFFF"/>
                <w:sz w:val="17"/>
              </w:rPr>
              <w:t>ID</w:t>
            </w:r>
          </w:p>
        </w:tc>
        <w:tc>
          <w:tcPr>
            <w:tcW w:type="dxa" w:w="2541"/>
            <w:shd w:fill="153B50"/>
            <w:tcBorders>
              <w:top w:val="single" w:sz="6" w:color="153B50"/>
              <w:left w:val="single" w:sz="4" w:color="FFFFFF"/>
              <w:bottom w:val="single" w:sz="6" w:color="153B50"/>
              <w:right w:val="single" w:sz="4" w:color="FFFFFF"/>
            </w:tcBorders>
          </w:tcPr>
          <w:p>
            <w:r>
              <w:rPr>
                <w:b/>
                <w:color w:val="FFFFFF"/>
                <w:sz w:val="17"/>
              </w:rPr>
              <w:t>Requirement</w:t>
            </w:r>
          </w:p>
        </w:tc>
        <w:tc>
          <w:tcPr>
            <w:tcW w:type="dxa" w:w="2541"/>
            <w:shd w:fill="153B50"/>
            <w:tcBorders>
              <w:top w:val="single" w:sz="6" w:color="153B50"/>
              <w:left w:val="single" w:sz="4" w:color="FFFFFF"/>
              <w:bottom w:val="single" w:sz="6" w:color="153B50"/>
              <w:right w:val="single" w:sz="4" w:color="FFFFFF"/>
            </w:tcBorders>
          </w:tcPr>
          <w:p>
            <w:r>
              <w:rPr>
                <w:b/>
                <w:color w:val="FFFFFF"/>
                <w:sz w:val="17"/>
              </w:rPr>
              <w:t>Priority</w:t>
            </w:r>
          </w:p>
        </w:tc>
        <w:tc>
          <w:tcPr>
            <w:tcW w:type="dxa" w:w="2541"/>
            <w:shd w:fill="153B50"/>
            <w:tcBorders>
              <w:top w:val="single" w:sz="6" w:color="153B50"/>
              <w:left w:val="single" w:sz="4" w:color="FFFFFF"/>
              <w:bottom w:val="single" w:sz="6" w:color="153B50"/>
              <w:right w:val="single" w:sz="4" w:color="FFFFFF"/>
            </w:tcBorders>
          </w:tcPr>
          <w:p>
            <w:r>
              <w:rPr>
                <w:b/>
                <w:color w:val="FFFFFF"/>
                <w:sz w:val="17"/>
              </w:rPr>
              <w:t>Verification</w:t>
            </w:r>
          </w:p>
        </w:tc>
      </w:tr>
      <w:tr>
        <w:tc>
          <w:tcPr>
            <w:tcW w:type="dxa" w:w="936"/>
            <w:shd w:fill="F8FAFC"/>
            <w:tcBorders>
              <w:top w:val="single" w:sz="3" w:color="D9E2EC"/>
              <w:left w:val="single" w:sz="3" w:color="D9E2EC"/>
              <w:bottom w:val="single" w:sz="3" w:color="D9E2EC"/>
              <w:right w:val="single" w:sz="3" w:color="D9E2EC"/>
            </w:tcBorders>
          </w:tcPr>
          <w:p>
            <w:pPr>
              <w:spacing w:after="20"/>
            </w:pPr>
            <w:r>
              <w:rPr>
                <w:sz w:val="16"/>
              </w:rPr>
              <w:t>MIG-001</w:t>
            </w:r>
          </w:p>
        </w:tc>
        <w:tc>
          <w:tcPr>
            <w:tcW w:type="dxa" w:w="5400"/>
            <w:shd w:fill="F8FAFC"/>
            <w:tcBorders>
              <w:top w:val="single" w:sz="3" w:color="D9E2EC"/>
              <w:left w:val="single" w:sz="3" w:color="D9E2EC"/>
              <w:bottom w:val="single" w:sz="3" w:color="D9E2EC"/>
              <w:right w:val="single" w:sz="3" w:color="D9E2EC"/>
            </w:tcBorders>
          </w:tcPr>
          <w:p>
            <w:pPr>
              <w:spacing w:after="20"/>
            </w:pPr>
            <w:r>
              <w:rPr>
                <w:sz w:val="16"/>
              </w:rPr>
              <w:t>Confirm existing tenant_revenue_fee_policies JSON and transaction financial_snapshot support the new response fields.</w:t>
            </w:r>
          </w:p>
        </w:tc>
        <w:tc>
          <w:tcPr>
            <w:tcW w:type="dxa" w:w="936"/>
            <w:shd w:fill="F8FAFC"/>
            <w:tcBorders>
              <w:top w:val="single" w:sz="3" w:color="D9E2EC"/>
              <w:left w:val="single" w:sz="3" w:color="D9E2EC"/>
              <w:bottom w:val="single" w:sz="3" w:color="D9E2EC"/>
              <w:right w:val="single" w:sz="3" w:color="D9E2EC"/>
            </w:tcBorders>
          </w:tcPr>
          <w:p>
            <w:pPr>
              <w:spacing w:after="20"/>
            </w:pPr>
            <w:r>
              <w:rPr>
                <w:sz w:val="16"/>
              </w:rPr>
              <w:t>P0</w:t>
            </w:r>
          </w:p>
        </w:tc>
        <w:tc>
          <w:tcPr>
            <w:tcW w:type="dxa" w:w="2016"/>
            <w:shd w:fill="F8FAFC"/>
            <w:tcBorders>
              <w:top w:val="single" w:sz="3" w:color="D9E2EC"/>
              <w:left w:val="single" w:sz="3" w:color="D9E2EC"/>
              <w:bottom w:val="single" w:sz="3" w:color="D9E2EC"/>
              <w:right w:val="single" w:sz="3" w:color="D9E2EC"/>
            </w:tcBorders>
          </w:tcPr>
          <w:p>
            <w:pPr>
              <w:spacing w:after="20"/>
            </w:pPr>
            <w:r>
              <w:rPr>
                <w:sz w:val="16"/>
              </w:rPr>
              <w:t>Schema and fixture inspection</w:t>
            </w:r>
          </w:p>
        </w:tc>
      </w:tr>
      <w:tr>
        <w:tc>
          <w:tcPr>
            <w:tcW w:type="dxa" w:w="936"/>
            <w:tcBorders>
              <w:top w:val="single" w:sz="3" w:color="D9E2EC"/>
              <w:left w:val="single" w:sz="3" w:color="D9E2EC"/>
              <w:bottom w:val="single" w:sz="3" w:color="D9E2EC"/>
              <w:right w:val="single" w:sz="3" w:color="D9E2EC"/>
            </w:tcBorders>
          </w:tcPr>
          <w:p>
            <w:pPr>
              <w:spacing w:after="20"/>
            </w:pPr>
            <w:r>
              <w:rPr>
                <w:sz w:val="16"/>
              </w:rPr>
              <w:t>MIG-002</w:t>
            </w:r>
          </w:p>
        </w:tc>
        <w:tc>
          <w:tcPr>
            <w:tcW w:type="dxa" w:w="5400"/>
            <w:tcBorders>
              <w:top w:val="single" w:sz="3" w:color="D9E2EC"/>
              <w:left w:val="single" w:sz="3" w:color="D9E2EC"/>
              <w:bottom w:val="single" w:sz="3" w:color="D9E2EC"/>
              <w:right w:val="single" w:sz="3" w:color="D9E2EC"/>
            </w:tcBorders>
          </w:tcPr>
          <w:p>
            <w:pPr>
              <w:spacing w:after="20"/>
            </w:pPr>
            <w:r>
              <w:rPr>
                <w:sz w:val="16"/>
              </w:rPr>
              <w:t>Prefer no database migration if the existing JSON and source enum are sufficient.</w:t>
            </w:r>
          </w:p>
        </w:tc>
        <w:tc>
          <w:tcPr>
            <w:tcW w:type="dxa" w:w="936"/>
            <w:tcBorders>
              <w:top w:val="single" w:sz="3" w:color="D9E2EC"/>
              <w:left w:val="single" w:sz="3" w:color="D9E2EC"/>
              <w:bottom w:val="single" w:sz="3" w:color="D9E2EC"/>
              <w:right w:val="single" w:sz="3" w:color="D9E2EC"/>
            </w:tcBorders>
          </w:tcPr>
          <w:p>
            <w:pPr>
              <w:spacing w:after="20"/>
            </w:pPr>
            <w:r>
              <w:rPr>
                <w:sz w:val="16"/>
              </w:rPr>
              <w:t>P0</w:t>
            </w:r>
          </w:p>
        </w:tc>
        <w:tc>
          <w:tcPr>
            <w:tcW w:type="dxa" w:w="2016"/>
            <w:tcBorders>
              <w:top w:val="single" w:sz="3" w:color="D9E2EC"/>
              <w:left w:val="single" w:sz="3" w:color="D9E2EC"/>
              <w:bottom w:val="single" w:sz="3" w:color="D9E2EC"/>
              <w:right w:val="single" w:sz="3" w:color="D9E2EC"/>
            </w:tcBorders>
          </w:tcPr>
          <w:p>
            <w:pPr>
              <w:spacing w:after="20"/>
            </w:pPr>
            <w:r>
              <w:rPr>
                <w:sz w:val="16"/>
              </w:rPr>
              <w:t>Migration review</w:t>
            </w:r>
          </w:p>
        </w:tc>
      </w:tr>
      <w:tr>
        <w:tc>
          <w:tcPr>
            <w:tcW w:type="dxa" w:w="936"/>
            <w:shd w:fill="F8FAFC"/>
            <w:tcBorders>
              <w:top w:val="single" w:sz="3" w:color="D9E2EC"/>
              <w:left w:val="single" w:sz="3" w:color="D9E2EC"/>
              <w:bottom w:val="single" w:sz="3" w:color="D9E2EC"/>
              <w:right w:val="single" w:sz="3" w:color="D9E2EC"/>
            </w:tcBorders>
          </w:tcPr>
          <w:p>
            <w:pPr>
              <w:spacing w:after="20"/>
            </w:pPr>
            <w:r>
              <w:rPr>
                <w:sz w:val="16"/>
              </w:rPr>
              <w:t>MIG-003</w:t>
            </w:r>
          </w:p>
        </w:tc>
        <w:tc>
          <w:tcPr>
            <w:tcW w:type="dxa" w:w="5400"/>
            <w:shd w:fill="F8FAFC"/>
            <w:tcBorders>
              <w:top w:val="single" w:sz="3" w:color="D9E2EC"/>
              <w:left w:val="single" w:sz="3" w:color="D9E2EC"/>
              <w:bottom w:val="single" w:sz="3" w:color="D9E2EC"/>
              <w:right w:val="single" w:sz="3" w:color="D9E2EC"/>
            </w:tcBorders>
          </w:tcPr>
          <w:p>
            <w:pPr>
              <w:spacing w:after="20"/>
            </w:pPr>
            <w:r>
              <w:rPr>
                <w:sz w:val="16"/>
              </w:rPr>
              <w:t>If an explicit estimate flag or source breakdown requires a scalar column, add an additive landlord migration with nullable/default-safe behavior.</w:t>
            </w:r>
          </w:p>
        </w:tc>
        <w:tc>
          <w:tcPr>
            <w:tcW w:type="dxa" w:w="936"/>
            <w:shd w:fill="F8FAFC"/>
            <w:tcBorders>
              <w:top w:val="single" w:sz="3" w:color="D9E2EC"/>
              <w:left w:val="single" w:sz="3" w:color="D9E2EC"/>
              <w:bottom w:val="single" w:sz="3" w:color="D9E2EC"/>
              <w:right w:val="single" w:sz="3" w:color="D9E2EC"/>
            </w:tcBorders>
          </w:tcPr>
          <w:p>
            <w:pPr>
              <w:spacing w:after="20"/>
            </w:pPr>
            <w:r>
              <w:rPr>
                <w:sz w:val="16"/>
              </w:rPr>
              <w:t>P1</w:t>
            </w:r>
          </w:p>
        </w:tc>
        <w:tc>
          <w:tcPr>
            <w:tcW w:type="dxa" w:w="2016"/>
            <w:shd w:fill="F8FAFC"/>
            <w:tcBorders>
              <w:top w:val="single" w:sz="3" w:color="D9E2EC"/>
              <w:left w:val="single" w:sz="3" w:color="D9E2EC"/>
              <w:bottom w:val="single" w:sz="3" w:color="D9E2EC"/>
              <w:right w:val="single" w:sz="3" w:color="D9E2EC"/>
            </w:tcBorders>
          </w:tcPr>
          <w:p>
            <w:pPr>
              <w:spacing w:after="20"/>
            </w:pPr>
            <w:r>
              <w:rPr>
                <w:sz w:val="16"/>
              </w:rPr>
              <w:t>Migration test</w:t>
            </w:r>
          </w:p>
        </w:tc>
      </w:tr>
      <w:tr>
        <w:tc>
          <w:tcPr>
            <w:tcW w:type="dxa" w:w="936"/>
            <w:tcBorders>
              <w:top w:val="single" w:sz="3" w:color="D9E2EC"/>
              <w:left w:val="single" w:sz="3" w:color="D9E2EC"/>
              <w:bottom w:val="single" w:sz="3" w:color="D9E2EC"/>
              <w:right w:val="single" w:sz="3" w:color="D9E2EC"/>
            </w:tcBorders>
          </w:tcPr>
          <w:p>
            <w:pPr>
              <w:spacing w:after="20"/>
            </w:pPr>
            <w:r>
              <w:rPr>
                <w:sz w:val="16"/>
              </w:rPr>
              <w:t>MIG-004</w:t>
            </w:r>
          </w:p>
        </w:tc>
        <w:tc>
          <w:tcPr>
            <w:tcW w:type="dxa" w:w="5400"/>
            <w:tcBorders>
              <w:top w:val="single" w:sz="3" w:color="D9E2EC"/>
              <w:left w:val="single" w:sz="3" w:color="D9E2EC"/>
              <w:bottom w:val="single" w:sz="3" w:color="D9E2EC"/>
              <w:right w:val="single" w:sz="3" w:color="D9E2EC"/>
            </w:tcBorders>
          </w:tcPr>
          <w:p>
            <w:pPr>
              <w:spacing w:after="20"/>
            </w:pPr>
            <w:r>
              <w:rPr>
                <w:sz w:val="16"/>
              </w:rPr>
              <w:t>Do not backfill or recompute historical fee amounts. Existing policy snapshots remain authoritative for historical transactions.</w:t>
            </w:r>
          </w:p>
        </w:tc>
        <w:tc>
          <w:tcPr>
            <w:tcW w:type="dxa" w:w="936"/>
            <w:tcBorders>
              <w:top w:val="single" w:sz="3" w:color="D9E2EC"/>
              <w:left w:val="single" w:sz="3" w:color="D9E2EC"/>
              <w:bottom w:val="single" w:sz="3" w:color="D9E2EC"/>
              <w:right w:val="single" w:sz="3" w:color="D9E2EC"/>
            </w:tcBorders>
          </w:tcPr>
          <w:p>
            <w:pPr>
              <w:spacing w:after="20"/>
            </w:pPr>
            <w:r>
              <w:rPr>
                <w:sz w:val="16"/>
              </w:rPr>
              <w:t>P0</w:t>
            </w:r>
          </w:p>
        </w:tc>
        <w:tc>
          <w:tcPr>
            <w:tcW w:type="dxa" w:w="2016"/>
            <w:tcBorders>
              <w:top w:val="single" w:sz="3" w:color="D9E2EC"/>
              <w:left w:val="single" w:sz="3" w:color="D9E2EC"/>
              <w:bottom w:val="single" w:sz="3" w:color="D9E2EC"/>
              <w:right w:val="single" w:sz="3" w:color="D9E2EC"/>
            </w:tcBorders>
          </w:tcPr>
          <w:p>
            <w:pPr>
              <w:spacing w:after="20"/>
            </w:pPr>
            <w:r>
              <w:rPr>
                <w:sz w:val="16"/>
              </w:rPr>
              <w:t>Historical data test</w:t>
            </w:r>
          </w:p>
        </w:tc>
      </w:tr>
      <w:tr>
        <w:tc>
          <w:tcPr>
            <w:tcW w:type="dxa" w:w="936"/>
            <w:shd w:fill="F8FAFC"/>
            <w:tcBorders>
              <w:top w:val="single" w:sz="3" w:color="D9E2EC"/>
              <w:left w:val="single" w:sz="3" w:color="D9E2EC"/>
              <w:bottom w:val="single" w:sz="3" w:color="D9E2EC"/>
              <w:right w:val="single" w:sz="3" w:color="D9E2EC"/>
            </w:tcBorders>
          </w:tcPr>
          <w:p>
            <w:pPr>
              <w:spacing w:after="20"/>
            </w:pPr>
            <w:r>
              <w:rPr>
                <w:sz w:val="16"/>
              </w:rPr>
              <w:t>MIG-005</w:t>
            </w:r>
          </w:p>
        </w:tc>
        <w:tc>
          <w:tcPr>
            <w:tcW w:type="dxa" w:w="5400"/>
            <w:shd w:fill="F8FAFC"/>
            <w:tcBorders>
              <w:top w:val="single" w:sz="3" w:color="D9E2EC"/>
              <w:left w:val="single" w:sz="3" w:color="D9E2EC"/>
              <w:bottom w:val="single" w:sz="3" w:color="D9E2EC"/>
              <w:right w:val="single" w:sz="3" w:color="D9E2EC"/>
            </w:tcBorders>
          </w:tcPr>
          <w:p>
            <w:pPr>
              <w:spacing w:after="20"/>
            </w:pPr>
            <w:r>
              <w:rPr>
                <w:sz w:val="16"/>
              </w:rPr>
              <w:t>Seed or verify a safe platform-created on-hold policy for target tenants before enabling Owner edit.</w:t>
            </w:r>
          </w:p>
        </w:tc>
        <w:tc>
          <w:tcPr>
            <w:tcW w:type="dxa" w:w="936"/>
            <w:shd w:fill="F8FAFC"/>
            <w:tcBorders>
              <w:top w:val="single" w:sz="3" w:color="D9E2EC"/>
              <w:left w:val="single" w:sz="3" w:color="D9E2EC"/>
              <w:bottom w:val="single" w:sz="3" w:color="D9E2EC"/>
              <w:right w:val="single" w:sz="3" w:color="D9E2EC"/>
            </w:tcBorders>
          </w:tcPr>
          <w:p>
            <w:pPr>
              <w:spacing w:after="20"/>
            </w:pPr>
            <w:r>
              <w:rPr>
                <w:sz w:val="16"/>
              </w:rPr>
              <w:t>P0</w:t>
            </w:r>
          </w:p>
        </w:tc>
        <w:tc>
          <w:tcPr>
            <w:tcW w:type="dxa" w:w="2016"/>
            <w:shd w:fill="F8FAFC"/>
            <w:tcBorders>
              <w:top w:val="single" w:sz="3" w:color="D9E2EC"/>
              <w:left w:val="single" w:sz="3" w:color="D9E2EC"/>
              <w:bottom w:val="single" w:sz="3" w:color="D9E2EC"/>
              <w:right w:val="single" w:sz="3" w:color="D9E2EC"/>
            </w:tcBorders>
          </w:tcPr>
          <w:p>
            <w:pPr>
              <w:spacing w:after="20"/>
            </w:pPr>
            <w:r>
              <w:rPr>
                <w:sz w:val="16"/>
              </w:rPr>
              <w:t>Local fixture and rollout check</w:t>
            </w:r>
          </w:p>
        </w:tc>
      </w:tr>
    </w:tbl>
    <w:p/>
    <w:p>
      <w:pPr>
        <w:pStyle w:val="Heading1"/>
      </w:pPr>
      <w:r>
        <w:t>Transaction failure behavior</w:t>
      </w:r>
    </w:p>
    <w:tbl>
      <w:tblPr>
        <w:tblW w:type="auto" w:w="0"/>
        <w:tblLayout w:type="autofit"/>
        <w:tblLook w:firstColumn="1" w:firstRow="1" w:lastColumn="0" w:lastRow="0" w:noHBand="0" w:noVBand="1" w:val="04A0"/>
      </w:tblPr>
      <w:tblGrid>
        <w:gridCol w:w="3389"/>
        <w:gridCol w:w="3389"/>
        <w:gridCol w:w="3389"/>
      </w:tblGrid>
      <w:tr>
        <w:tc>
          <w:tcPr>
            <w:tcW w:type="dxa" w:w="3389"/>
            <w:shd w:fill="153B50"/>
            <w:tcBorders>
              <w:top w:val="single" w:sz="6" w:color="153B50"/>
              <w:left w:val="single" w:sz="4" w:color="FFFFFF"/>
              <w:bottom w:val="single" w:sz="6" w:color="153B50"/>
              <w:right w:val="single" w:sz="4" w:color="FFFFFF"/>
            </w:tcBorders>
          </w:tcPr>
          <w:p>
            <w:r>
              <w:rPr>
                <w:b/>
                <w:color w:val="FFFFFF"/>
                <w:sz w:val="17"/>
              </w:rPr>
              <w:t>Failure</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Data behavior</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User or operator behavior</w:t>
            </w:r>
          </w:p>
        </w:tc>
      </w:tr>
      <w:tr>
        <w:tc>
          <w:tcPr>
            <w:tcW w:type="dxa" w:w="2448"/>
            <w:shd w:fill="F8FAFC"/>
            <w:tcBorders>
              <w:top w:val="single" w:sz="3" w:color="D9E2EC"/>
              <w:left w:val="single" w:sz="3" w:color="D9E2EC"/>
              <w:bottom w:val="single" w:sz="3" w:color="D9E2EC"/>
              <w:right w:val="single" w:sz="3" w:color="D9E2EC"/>
            </w:tcBorders>
          </w:tcPr>
          <w:p>
            <w:pPr>
              <w:spacing w:after="20"/>
            </w:pPr>
            <w:r>
              <w:rPr>
                <w:sz w:val="16"/>
              </w:rPr>
              <w:t>Policy validation fails</w:t>
            </w:r>
          </w:p>
        </w:tc>
        <w:tc>
          <w:tcPr>
            <w:tcW w:type="dxa" w:w="4032"/>
            <w:shd w:fill="F8FAFC"/>
            <w:tcBorders>
              <w:top w:val="single" w:sz="3" w:color="D9E2EC"/>
              <w:left w:val="single" w:sz="3" w:color="D9E2EC"/>
              <w:bottom w:val="single" w:sz="3" w:color="D9E2EC"/>
              <w:right w:val="single" w:sz="3" w:color="D9E2EC"/>
            </w:tcBorders>
          </w:tcPr>
          <w:p>
            <w:pPr>
              <w:spacing w:after="20"/>
            </w:pPr>
            <w:r>
              <w:rPr>
                <w:sz w:val="16"/>
              </w:rPr>
              <w:t>No policy or audit row is written.</w:t>
            </w:r>
          </w:p>
        </w:tc>
        <w:tc>
          <w:tcPr>
            <w:tcW w:type="dxa" w:w="3168"/>
            <w:shd w:fill="F8FAFC"/>
            <w:tcBorders>
              <w:top w:val="single" w:sz="3" w:color="D9E2EC"/>
              <w:left w:val="single" w:sz="3" w:color="D9E2EC"/>
              <w:bottom w:val="single" w:sz="3" w:color="D9E2EC"/>
              <w:right w:val="single" w:sz="3" w:color="D9E2EC"/>
            </w:tcBorders>
          </w:tcPr>
          <w:p>
            <w:pPr>
              <w:spacing w:after="20"/>
            </w:pPr>
            <w:r>
              <w:rPr>
                <w:sz w:val="16"/>
              </w:rPr>
              <w:t>Show field-level error; retain unsaved form values locally.</w:t>
            </w:r>
          </w:p>
        </w:tc>
      </w:tr>
      <w:tr>
        <w:tc>
          <w:tcPr>
            <w:tcW w:type="dxa" w:w="2448"/>
            <w:tcBorders>
              <w:top w:val="single" w:sz="3" w:color="D9E2EC"/>
              <w:left w:val="single" w:sz="3" w:color="D9E2EC"/>
              <w:bottom w:val="single" w:sz="3" w:color="D9E2EC"/>
              <w:right w:val="single" w:sz="3" w:color="D9E2EC"/>
            </w:tcBorders>
          </w:tcPr>
          <w:p>
            <w:pPr>
              <w:spacing w:after="20"/>
            </w:pPr>
            <w:r>
              <w:rPr>
                <w:sz w:val="16"/>
              </w:rPr>
              <w:t>Concurrent version conflict</w:t>
            </w:r>
          </w:p>
        </w:tc>
        <w:tc>
          <w:tcPr>
            <w:tcW w:type="dxa" w:w="4032"/>
            <w:tcBorders>
              <w:top w:val="single" w:sz="3" w:color="D9E2EC"/>
              <w:left w:val="single" w:sz="3" w:color="D9E2EC"/>
              <w:bottom w:val="single" w:sz="3" w:color="D9E2EC"/>
              <w:right w:val="single" w:sz="3" w:color="D9E2EC"/>
            </w:tcBorders>
          </w:tcPr>
          <w:p>
            <w:pPr>
              <w:spacing w:after="20"/>
            </w:pPr>
            <w:r>
              <w:rPr>
                <w:sz w:val="16"/>
              </w:rPr>
              <w:t>No second policy version is written.</w:t>
            </w:r>
          </w:p>
        </w:tc>
        <w:tc>
          <w:tcPr>
            <w:tcW w:type="dxa" w:w="3168"/>
            <w:tcBorders>
              <w:top w:val="single" w:sz="3" w:color="D9E2EC"/>
              <w:left w:val="single" w:sz="3" w:color="D9E2EC"/>
              <w:bottom w:val="single" w:sz="3" w:color="D9E2EC"/>
              <w:right w:val="single" w:sz="3" w:color="D9E2EC"/>
            </w:tcBorders>
          </w:tcPr>
          <w:p>
            <w:pPr>
              <w:spacing w:after="20"/>
            </w:pPr>
            <w:r>
              <w:rPr>
                <w:sz w:val="16"/>
              </w:rPr>
              <w:t>Refresh latest policy and ask Owner to review before retry.</w:t>
            </w:r>
          </w:p>
        </w:tc>
      </w:tr>
      <w:tr>
        <w:tc>
          <w:tcPr>
            <w:tcW w:type="dxa" w:w="2448"/>
            <w:shd w:fill="F8FAFC"/>
            <w:tcBorders>
              <w:top w:val="single" w:sz="3" w:color="D9E2EC"/>
              <w:left w:val="single" w:sz="3" w:color="D9E2EC"/>
              <w:bottom w:val="single" w:sz="3" w:color="D9E2EC"/>
              <w:right w:val="single" w:sz="3" w:color="D9E2EC"/>
            </w:tcBorders>
          </w:tcPr>
          <w:p>
            <w:pPr>
              <w:spacing w:after="20"/>
            </w:pPr>
            <w:r>
              <w:rPr>
                <w:sz w:val="16"/>
              </w:rPr>
              <w:t>Audit write fails</w:t>
            </w:r>
          </w:p>
        </w:tc>
        <w:tc>
          <w:tcPr>
            <w:tcW w:type="dxa" w:w="4032"/>
            <w:shd w:fill="F8FAFC"/>
            <w:tcBorders>
              <w:top w:val="single" w:sz="3" w:color="D9E2EC"/>
              <w:left w:val="single" w:sz="3" w:color="D9E2EC"/>
              <w:bottom w:val="single" w:sz="3" w:color="D9E2EC"/>
              <w:right w:val="single" w:sz="3" w:color="D9E2EC"/>
            </w:tcBorders>
          </w:tcPr>
          <w:p>
            <w:pPr>
              <w:spacing w:after="20"/>
            </w:pPr>
            <w:r>
              <w:rPr>
                <w:sz w:val="16"/>
              </w:rPr>
              <w:t>Roll back policy transaction; no partially visible policy.</w:t>
            </w:r>
          </w:p>
        </w:tc>
        <w:tc>
          <w:tcPr>
            <w:tcW w:type="dxa" w:w="3168"/>
            <w:shd w:fill="F8FAFC"/>
            <w:tcBorders>
              <w:top w:val="single" w:sz="3" w:color="D9E2EC"/>
              <w:left w:val="single" w:sz="3" w:color="D9E2EC"/>
              <w:bottom w:val="single" w:sz="3" w:color="D9E2EC"/>
              <w:right w:val="single" w:sz="3" w:color="D9E2EC"/>
            </w:tcBorders>
          </w:tcPr>
          <w:p>
            <w:pPr>
              <w:spacing w:after="20"/>
            </w:pPr>
            <w:r>
              <w:rPr>
                <w:sz w:val="16"/>
              </w:rPr>
              <w:t>Show retryable error and alert operations.</w:t>
            </w:r>
          </w:p>
        </w:tc>
      </w:tr>
      <w:tr>
        <w:tc>
          <w:tcPr>
            <w:tcW w:type="dxa" w:w="2448"/>
            <w:tcBorders>
              <w:top w:val="single" w:sz="3" w:color="D9E2EC"/>
              <w:left w:val="single" w:sz="3" w:color="D9E2EC"/>
              <w:bottom w:val="single" w:sz="3" w:color="D9E2EC"/>
              <w:right w:val="single" w:sz="3" w:color="D9E2EC"/>
            </w:tcBorders>
          </w:tcPr>
          <w:p>
            <w:pPr>
              <w:spacing w:after="20"/>
            </w:pPr>
            <w:r>
              <w:rPr>
                <w:sz w:val="16"/>
              </w:rPr>
              <w:t>Provider financial data missing</w:t>
            </w:r>
          </w:p>
        </w:tc>
        <w:tc>
          <w:tcPr>
            <w:tcW w:type="dxa" w:w="4032"/>
            <w:tcBorders>
              <w:top w:val="single" w:sz="3" w:color="D9E2EC"/>
              <w:left w:val="single" w:sz="3" w:color="D9E2EC"/>
              <w:bottom w:val="single" w:sz="3" w:color="D9E2EC"/>
              <w:right w:val="single" w:sz="3" w:color="D9E2EC"/>
            </w:tcBorders>
          </w:tcPr>
          <w:p>
            <w:pPr>
              <w:spacing w:after="20"/>
            </w:pPr>
            <w:r>
              <w:rPr>
                <w:sz w:val="16"/>
              </w:rPr>
              <w:t>Record source fallback or manual_review; preserve unresolved status and snapshot.</w:t>
            </w:r>
          </w:p>
        </w:tc>
        <w:tc>
          <w:tcPr>
            <w:tcW w:type="dxa" w:w="3168"/>
            <w:tcBorders>
              <w:top w:val="single" w:sz="3" w:color="D9E2EC"/>
              <w:left w:val="single" w:sz="3" w:color="D9E2EC"/>
              <w:bottom w:val="single" w:sz="3" w:color="D9E2EC"/>
              <w:right w:val="single" w:sz="3" w:color="D9E2EC"/>
            </w:tcBorders>
          </w:tcPr>
          <w:p>
            <w:pPr>
              <w:spacing w:after="20"/>
            </w:pPr>
            <w:r>
              <w:rPr>
                <w:sz w:val="16"/>
              </w:rPr>
              <w:t>Owner sees estimated or manual-review badge; finance can reconcile later.</w:t>
            </w:r>
          </w:p>
        </w:tc>
      </w:tr>
      <w:tr>
        <w:tc>
          <w:tcPr>
            <w:tcW w:type="dxa" w:w="2448"/>
            <w:shd w:fill="F8FAFC"/>
            <w:tcBorders>
              <w:top w:val="single" w:sz="3" w:color="D9E2EC"/>
              <w:left w:val="single" w:sz="3" w:color="D9E2EC"/>
              <w:bottom w:val="single" w:sz="3" w:color="D9E2EC"/>
              <w:right w:val="single" w:sz="3" w:color="D9E2EC"/>
            </w:tcBorders>
          </w:tcPr>
          <w:p>
            <w:pPr>
              <w:spacing w:after="20"/>
            </w:pPr>
            <w:r>
              <w:rPr>
                <w:sz w:val="16"/>
              </w:rPr>
              <w:t>Provider reconciliation fails</w:t>
            </w:r>
          </w:p>
        </w:tc>
        <w:tc>
          <w:tcPr>
            <w:tcW w:type="dxa" w:w="4032"/>
            <w:shd w:fill="F8FAFC"/>
            <w:tcBorders>
              <w:top w:val="single" w:sz="3" w:color="D9E2EC"/>
              <w:left w:val="single" w:sz="3" w:color="D9E2EC"/>
              <w:bottom w:val="single" w:sz="3" w:color="D9E2EC"/>
              <w:right w:val="single" w:sz="3" w:color="D9E2EC"/>
            </w:tcBorders>
          </w:tcPr>
          <w:p>
            <w:pPr>
              <w:spacing w:after="20"/>
            </w:pPr>
            <w:r>
              <w:rPr>
                <w:sz w:val="16"/>
              </w:rPr>
              <w:t>Retain current transaction and open exception; do not silently alter payable.</w:t>
            </w:r>
          </w:p>
        </w:tc>
        <w:tc>
          <w:tcPr>
            <w:tcW w:type="dxa" w:w="3168"/>
            <w:shd w:fill="F8FAFC"/>
            <w:tcBorders>
              <w:top w:val="single" w:sz="3" w:color="D9E2EC"/>
              <w:left w:val="single" w:sz="3" w:color="D9E2EC"/>
              <w:bottom w:val="single" w:sz="3" w:color="D9E2EC"/>
              <w:right w:val="single" w:sz="3" w:color="D9E2EC"/>
            </w:tcBorders>
          </w:tcPr>
          <w:p>
            <w:pPr>
              <w:spacing w:after="20"/>
            </w:pPr>
            <w:r>
              <w:rPr>
                <w:sz w:val="16"/>
              </w:rPr>
              <w:t>Keep settlement on hold and expose exception.</w:t>
            </w:r>
          </w:p>
        </w:tc>
      </w:tr>
    </w:tbl>
    <w:p/>
    <w:p>
      <w:pPr>
        <w:pStyle w:val="Heading1"/>
      </w:pPr>
      <w:r>
        <w:t>Rollback data rules</w:t>
      </w:r>
    </w:p>
    <w:p>
      <w:pPr>
        <w:pStyle w:val="ListBullet"/>
      </w:pPr>
      <w:r>
        <w:t>Disabling the Owner mutation route does not delete policy versions or transaction snapshots.</w:t>
      </w:r>
    </w:p>
    <w:p>
      <w:pPr>
        <w:pStyle w:val="ListBullet"/>
      </w:pPr>
      <w:r>
        <w:t>A bad fallback is corrected by a new policy version or by disabling fallback for the affected method, never by rewriting historical policy rows.</w:t>
      </w:r>
    </w:p>
    <w:p>
      <w:pPr>
        <w:pStyle w:val="ListBullet"/>
      </w:pPr>
      <w:r>
        <w:t>If a provisional ledger entry was used, actual reconciliation must post the approved delta before payout eligibility is restored.</w:t>
      </w:r>
    </w:p>
    <w:p>
      <w:pPr>
        <w:pStyle w:val="ListBullet"/>
      </w:pPr>
      <w:r>
        <w:t>Financial tables and audit rows are retained during application rollback.</w:t>
      </w:r>
    </w:p>
    <w:p>
      <w:pPr>
        <w:pStyle w:val="Heading2"/>
      </w:pPr>
      <w:r>
        <w:t>Repository evidence</w:t>
      </w:r>
    </w:p>
    <w:p>
      <w:pPr>
        <w:pStyle w:val="ListBullet"/>
      </w:pPr>
      <w:r>
        <w:rPr>
          <w:rFonts w:ascii="Consolas" w:hAnsi="Consolas"/>
          <w:sz w:val="17"/>
        </w:rPr>
        <w:t>apps/dgfy-api/src/models/Landlord/TenantRevenueFeePolicy.js</w:t>
      </w:r>
    </w:p>
    <w:p>
      <w:pPr>
        <w:pStyle w:val="ListBullet"/>
      </w:pPr>
      <w:r>
        <w:rPr>
          <w:rFonts w:ascii="Consolas" w:hAnsi="Consolas"/>
          <w:sz w:val="17"/>
        </w:rPr>
        <w:t>apps/dgfy-api/src/models/Landlord/TenantRevenueTransaction.js</w:t>
      </w:r>
    </w:p>
    <w:p>
      <w:pPr>
        <w:pStyle w:val="ListBullet"/>
      </w:pPr>
      <w:r>
        <w:rPr>
          <w:rFonts w:ascii="Consolas" w:hAnsi="Consolas"/>
          <w:sz w:val="17"/>
        </w:rPr>
        <w:t>apps/dgfy-migration-runner/migrations/20260730000002-create-tenant-revenue-settlement.cjs</w:t>
      </w:r>
    </w:p>
    <w:p>
      <w:pPr>
        <w:pStyle w:val="ListBullet"/>
      </w:pPr>
      <w:r>
        <w:rPr>
          <w:rFonts w:ascii="Consolas" w:hAnsi="Consolas"/>
          <w:sz w:val="17"/>
        </w:rPr>
        <w:t>apps/dgfy-api/src/modules/tenantRevenue/usecases/tenantRevenueUseCases.js</w:t>
      </w:r>
    </w:p>
    <w:p>
      <w:pPr>
        <w:pStyle w:val="ListBullet"/>
      </w:pPr>
      <w:r>
        <w:rPr>
          <w:rFonts w:ascii="Consolas" w:hAnsi="Consolas"/>
          <w:sz w:val="17"/>
        </w:rPr>
        <w:t>apps/dgfy-api/src/modules/tenantRevenue/repositories/tenantRevenueRepository.js</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2606D"/>
        <w:sz w:val="16"/>
      </w:rPr>
      <w:t>Plan version 1.0  |  2026-10-06  |  Local planning artifact</w:t>
    </w:r>
    <w:r>
      <w:t xml:space="preserve">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06D"/>
        <w:sz w:val="16"/>
      </w:rPr>
      <w:t>DGFY POS-DGFY  |  Configurable Payment Processing Fee  |  Section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53B5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F766E"/>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53B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