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Configurable Payment Processing Fee</w:t>
      </w:r>
    </w:p>
    <w:p>
      <w:pPr>
        <w:spacing w:after="160"/>
      </w:pPr>
      <w:r>
        <w:rPr>
          <w:b/>
          <w:color w:val="0F766E"/>
          <w:sz w:val="22"/>
        </w:rPr>
        <w:t>Authorization and Owner User Experience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POS-DGFY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Plan version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1.0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Section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05  Authorization and Owner User Experience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Define who can view or edit the policy and the complete OPIS workflow for configuration and fee visibility.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Dependencies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Sections 02 through 04; current business admin capability policy; ownership and permission contracts; ADR 0087.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Implementation status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Planning only. No application code is changed by this plan.</w:t>
            </w:r>
          </w:p>
        </w:tc>
      </w:tr>
    </w:tbl>
    <w:p/>
    <w:p>
      <w:pPr>
        <w:pStyle w:val="Heading1"/>
      </w:pPr>
      <w:r>
        <w:t>Authorization model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2541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View policy and fees</w:t>
            </w:r>
          </w:p>
        </w:tc>
        <w:tc>
          <w:tcPr>
            <w:tcW w:type="dxa" w:w="2541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Edit fallback policy</w:t>
            </w:r>
          </w:p>
        </w:tc>
        <w:tc>
          <w:tcPr>
            <w:tcW w:type="dxa" w:w="2541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Edit platform settlement fields</w:t>
            </w:r>
          </w:p>
        </w:tc>
      </w:tr>
      <w:tr>
        <w:tc>
          <w:tcPr>
            <w:tcW w:type="dxa" w:w="244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Current tenant Owner</w:t>
            </w:r>
          </w:p>
        </w:tc>
        <w:tc>
          <w:tcPr>
            <w:tcW w:type="dxa" w:w="237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Yes when tenant context and view capability are valid.</w:t>
            </w:r>
          </w:p>
        </w:tc>
        <w:tc>
          <w:tcPr>
            <w:tcW w:type="dxa" w:w="266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Yes through dedicated fee-policy edit capability only.</w:t>
            </w:r>
          </w:p>
        </w:tc>
        <w:tc>
          <w:tcPr>
            <w:tcW w:type="dxa" w:w="216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No.</w:t>
            </w:r>
          </w:p>
        </w:tc>
      </w:tr>
      <w:tr>
        <w:tc>
          <w:tcPr>
            <w:tcW w:type="dxa" w:w="244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Tenant member with reports view</w:t>
            </w:r>
          </w:p>
        </w:tc>
        <w:tc>
          <w:tcPr>
            <w:tcW w:type="dxa" w:w="237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Yes, read-only server-scoped statement.</w:t>
            </w:r>
          </w:p>
        </w:tc>
        <w:tc>
          <w:tcPr>
            <w:tcW w:type="dxa" w:w="266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No.</w:t>
            </w:r>
          </w:p>
        </w:tc>
        <w:tc>
          <w:tcPr>
            <w:tcW w:type="dxa" w:w="2160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No.</w:t>
            </w:r>
          </w:p>
        </w:tc>
      </w:tr>
      <w:tr>
        <w:tc>
          <w:tcPr>
            <w:tcW w:type="dxa" w:w="244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Tenant Admin or Manager without Owner capability</w:t>
            </w:r>
          </w:p>
        </w:tc>
        <w:tc>
          <w:tcPr>
            <w:tcW w:type="dxa" w:w="237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Only if explicitly granted report view.</w:t>
            </w:r>
          </w:p>
        </w:tc>
        <w:tc>
          <w:tcPr>
            <w:tcW w:type="dxa" w:w="266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No by default; generic settings edit is insufficient.</w:t>
            </w:r>
          </w:p>
        </w:tc>
        <w:tc>
          <w:tcPr>
            <w:tcW w:type="dxa" w:w="216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No.</w:t>
            </w:r>
          </w:p>
        </w:tc>
      </w:tr>
      <w:tr>
        <w:tc>
          <w:tcPr>
            <w:tcW w:type="dxa" w:w="244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Platform finance preparer or approver</w:t>
            </w:r>
          </w:p>
        </w:tc>
        <w:tc>
          <w:tcPr>
            <w:tcW w:type="dxa" w:w="237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Yes through governed admin surface.</w:t>
            </w:r>
          </w:p>
        </w:tc>
        <w:tc>
          <w:tcPr>
            <w:tcW w:type="dxa" w:w="2664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Existing platform policy path according to finance role.</w:t>
            </w:r>
          </w:p>
        </w:tc>
        <w:tc>
          <w:tcPr>
            <w:tcW w:type="dxa" w:w="2160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Yes only under existing finance controls.</w:t>
            </w:r>
          </w:p>
        </w:tc>
      </w:tr>
      <w:tr>
        <w:tc>
          <w:tcPr>
            <w:tcW w:type="dxa" w:w="244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Anonymous, wrong tenant, inactive member, revoked owner</w:t>
            </w:r>
          </w:p>
        </w:tc>
        <w:tc>
          <w:tcPr>
            <w:tcW w:type="dxa" w:w="237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No.</w:t>
            </w:r>
          </w:p>
        </w:tc>
        <w:tc>
          <w:tcPr>
            <w:tcW w:type="dxa" w:w="2664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No.</w:t>
            </w:r>
          </w:p>
        </w:tc>
        <w:tc>
          <w:tcPr>
            <w:tcW w:type="dxa" w:w="216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No.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8E1"/>
            <w:tcBorders>
              <w:top w:val="single" w:sz="6" w:color="D9B44A"/>
              <w:left w:val="single" w:sz="12" w:color="0F766E"/>
              <w:bottom w:val="single" w:sz="6" w:color="D9B44A"/>
              <w:right w:val="single" w:sz="6" w:color="D9B44A"/>
            </w:tcBorders>
          </w:tcPr>
          <w:p>
            <w:r>
              <w:rPr>
                <w:b/>
                <w:color w:val="153B50"/>
              </w:rPr>
              <w:t xml:space="preserve">Permission decision  </w:t>
            </w:r>
            <w:r>
              <w:t>Introduce a dedicated processing-fee policy capability rather than reusing settings:edit or downpayment:settings. The exact key should follow the repository permission naming convention, for example tenant_revenue:fee_policy:view and tenant_revenue:fee_policy:edit, and must be added to the Owner preset only after the authority decision is approved.</w:t>
            </w:r>
          </w:p>
        </w:tc>
      </w:tr>
    </w:tbl>
    <w:p/>
    <w:p>
      <w:pPr>
        <w:pStyle w:val="Heading1"/>
      </w:pPr>
      <w:r>
        <w:t>OPIS placement</w:t>
      </w:r>
    </w:p>
    <w:p>
      <w:pPr>
        <w:pStyle w:val="ListBullet"/>
      </w:pPr>
      <w:r>
        <w:t>Add Processing fee policy under OPIS Settings or the existing Payment policies settings group, with a clear distinction between provider fee fallback and customer pricing.</w:t>
      </w:r>
    </w:p>
    <w:p>
      <w:pPr>
        <w:pStyle w:val="ListBullet"/>
      </w:pPr>
      <w:r>
        <w:t>Add Payment processing fees to the OPIS Payments workspace summary. Keep Business amount labeled as after or before provider fee according to the actual formula; do not leave a misleading unlabeled net amount.</w:t>
      </w:r>
    </w:p>
    <w:p>
      <w:pPr>
        <w:pStyle w:val="ListBullet"/>
      </w:pPr>
      <w:r>
        <w:t>Use the existing tenant revenue read endpoints for financial data. The OPIS Business Admin monitoring endpoint remains a read-model for payment-session activity and must not become a second settlement calculator.</w:t>
      </w:r>
    </w:p>
    <w:p>
      <w:pPr>
        <w:pStyle w:val="ListBullet"/>
      </w:pPr>
      <w:r>
        <w:t>Do not add the feature to apps/dgfy-ims, POS terminal checkout, or Storefront checkout.</w:t>
      </w:r>
    </w:p>
    <w:p>
      <w:pPr>
        <w:pStyle w:val="Heading1"/>
      </w:pPr>
      <w:r>
        <w:t>Owner configuration journey</w:t>
      </w:r>
    </w:p>
    <w:p>
      <w:pPr>
        <w:pStyle w:val="ListBullet"/>
      </w:pPr>
      <w:r>
        <w:t>Open OPIS Settings and choose Processing fee policy.</w:t>
      </w:r>
    </w:p>
    <w:p>
      <w:pPr>
        <w:pStyle w:val="ListBullet"/>
      </w:pPr>
      <w:r>
        <w:t>The page loads the current tenant-scoped policy, editable fields, version, effective date, and last change reason.</w:t>
      </w:r>
    </w:p>
    <w:p>
      <w:pPr>
        <w:pStyle w:val="ListBullet"/>
      </w:pPr>
      <w:r>
        <w:t>The form shows Card, E-wallet, QR Ph, Online banking, and Other rows. Each row contains percentage and fixed PHP amount inputs, with integer centavo handling on the server.</w:t>
      </w:r>
    </w:p>
    <w:p>
      <w:pPr>
        <w:pStyle w:val="ListBullet"/>
      </w:pPr>
      <w:r>
        <w:t>An explanatory note says the values are used only when PayMongo does not provide actual or reconciled provider fee data. It explicitly says this does not add a fee to the customer total.</w:t>
      </w:r>
    </w:p>
    <w:p>
      <w:pPr>
        <w:pStyle w:val="ListBullet"/>
      </w:pPr>
      <w:r>
        <w:t>The Owner selects an effective date, enters a required reason, reviews a sample estimate, and submits.</w:t>
      </w:r>
    </w:p>
    <w:p>
      <w:pPr>
        <w:pStyle w:val="ListBullet"/>
      </w:pPr>
      <w:r>
        <w:t>The server returns the new version. The UI shows saved, effective date, and source behavior, then refreshes the payment report without navigating away.</w:t>
      </w:r>
    </w:p>
    <w:p>
      <w:pPr>
        <w:pStyle w:val="Heading1"/>
      </w:pPr>
      <w:r>
        <w:t>Payment visibility journey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View element</w:t>
            </w:r>
          </w:p>
        </w:tc>
        <w:tc>
          <w:tcPr>
            <w:tcW w:type="dxa" w:w="5083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Required behavior</w:t>
            </w:r>
          </w:p>
        </w:tc>
      </w:tr>
      <w:tr>
        <w:tc>
          <w:tcPr>
            <w:tcW w:type="dxa" w:w="2232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Summary cards</w:t>
            </w:r>
          </w:p>
        </w:tc>
        <w:tc>
          <w:tcPr>
            <w:tcW w:type="dxa" w:w="741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Collected, provider processing fees, DGFY platform fee, refunds, amount due, and unresolved/manual-review total are separate.</w:t>
            </w:r>
          </w:p>
        </w:tc>
      </w:tr>
      <w:tr>
        <w:tc>
          <w:tcPr>
            <w:tcW w:type="dxa" w:w="2232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Source breakdown</w:t>
            </w:r>
          </w:p>
        </w:tc>
        <w:tc>
          <w:tcPr>
            <w:tcW w:type="dxa" w:w="741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Show actual webhook, API/statement, configured fallback, and manual review counts and amounts. Fallback is labeled Estimated.</w:t>
            </w:r>
          </w:p>
        </w:tc>
      </w:tr>
      <w:tr>
        <w:tc>
          <w:tcPr>
            <w:tcW w:type="dxa" w:w="2232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Transaction table</w:t>
            </w:r>
          </w:p>
        </w:tc>
        <w:tc>
          <w:tcPr>
            <w:tcW w:type="dxa" w:w="741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Show gross, provider fee, source, platform fee, tenant amount due, reconciliation status, and settlement status. Do not merge provider and platform fees into one Fees column.</w:t>
            </w:r>
          </w:p>
        </w:tc>
      </w:tr>
      <w:tr>
        <w:tc>
          <w:tcPr>
            <w:tcW w:type="dxa" w:w="2232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Policy card</w:t>
            </w:r>
          </w:p>
        </w:tc>
        <w:tc>
          <w:tcPr>
            <w:tcW w:type="dxa" w:w="741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Show current version, effective date, configured methods, read-only platform fields, and last update reason. Mask payout data.</w:t>
            </w:r>
          </w:p>
        </w:tc>
      </w:tr>
      <w:tr>
        <w:tc>
          <w:tcPr>
            <w:tcW w:type="dxa" w:w="2232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Empty state</w:t>
            </w:r>
          </w:p>
        </w:tc>
        <w:tc>
          <w:tcPr>
            <w:tcW w:type="dxa" w:w="741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Explain that no online payments or no policy has been published; do not display zero as an actual provider fee.</w:t>
            </w:r>
          </w:p>
        </w:tc>
      </w:tr>
      <w:tr>
        <w:tc>
          <w:tcPr>
            <w:tcW w:type="dxa" w:w="2232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Error state</w:t>
            </w:r>
          </w:p>
        </w:tc>
        <w:tc>
          <w:tcPr>
            <w:tcW w:type="dxa" w:w="741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Show retry and a stable explanation for forbidden, stale policy, missing tenant revenue feature, and provider-data exception.</w:t>
            </w:r>
          </w:p>
        </w:tc>
      </w:tr>
    </w:tbl>
    <w:p/>
    <w:p>
      <w:pPr>
        <w:pStyle w:val="Heading1"/>
      </w:pPr>
      <w:r>
        <w:t>Form validation and interaction</w:t>
      </w:r>
    </w:p>
    <w:p>
      <w:pPr>
        <w:pStyle w:val="ListBullet"/>
      </w:pPr>
      <w:r>
        <w:t>Rate input accepts a user-friendly percentage but serializes to basis points; fixed amount serializes to integer centavos. Server validation is authoritative.</w:t>
      </w:r>
    </w:p>
    <w:p>
      <w:pPr>
        <w:pStyle w:val="ListBullet"/>
      </w:pPr>
      <w:r>
        <w:t>Reject negative, fractional-centavo, NaN, infinite, over-100 percent, duplicate-normalized-method, and unknown-method values.</w:t>
      </w:r>
    </w:p>
    <w:p>
      <w:pPr>
        <w:pStyle w:val="ListBullet"/>
      </w:pPr>
      <w:r>
        <w:t>Disable save while submitting and show the expected version used by the request.</w:t>
      </w:r>
    </w:p>
    <w:p>
      <w:pPr>
        <w:pStyle w:val="ListBullet"/>
      </w:pPr>
      <w:r>
        <w:t>On 409, preserve the draft, refresh the latest policy, and present a compare-before-retry action.</w:t>
      </w:r>
    </w:p>
    <w:p>
      <w:pPr>
        <w:pStyle w:val="ListBullet"/>
      </w:pPr>
      <w:r>
        <w:t>On 403, remove editing controls and keep the page read-only without leaking policy internals.</w:t>
      </w:r>
    </w:p>
    <w:p>
      <w:pPr>
        <w:pStyle w:val="ListBullet"/>
      </w:pPr>
      <w:r>
        <w:t>On refresh or leaving the page, use existing unsaved-change protection; no POS cart, shift, or terminal state is touched.</w:t>
      </w:r>
    </w:p>
    <w:p>
      <w:pPr>
        <w:pStyle w:val="Heading1"/>
      </w:pPr>
      <w:r>
        <w:t>Accessibility and responsive behavior</w:t>
      </w:r>
    </w:p>
    <w:p>
      <w:pPr>
        <w:pStyle w:val="ListBullet"/>
      </w:pPr>
      <w:r>
        <w:t>Every method row has a visible label, input label, unit, error text, and keyboard order.</w:t>
      </w:r>
    </w:p>
    <w:p>
      <w:pPr>
        <w:pStyle w:val="ListBullet"/>
      </w:pPr>
      <w:r>
        <w:t>Source badges use text and color; color is not the only indicator.</w:t>
      </w:r>
    </w:p>
    <w:p>
      <w:pPr>
        <w:pStyle w:val="ListBullet"/>
      </w:pPr>
      <w:r>
        <w:t>Tables remain readable on desktop and collapse to labeled cards on narrow screens without hiding fee source or status.</w:t>
      </w:r>
    </w:p>
    <w:p>
      <w:pPr>
        <w:pStyle w:val="ListBullet"/>
      </w:pPr>
      <w:r>
        <w:t>Save result, validation errors, and stale-policy conflicts use an announced status region.</w:t>
      </w:r>
    </w:p>
    <w:p>
      <w:pPr>
        <w:pStyle w:val="ListBullet"/>
      </w:pPr>
      <w:r>
        <w:t>No sensitive payout details are copied into clipboard, browser storage, or client logs.</w:t>
      </w:r>
    </w:p>
    <w:p>
      <w:pPr>
        <w:pStyle w:val="Heading1"/>
      </w:pPr>
      <w:r>
        <w:t>Affected frontend components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Component or path</w:t>
            </w:r>
          </w:p>
        </w:tc>
        <w:tc>
          <w:tcPr>
            <w:tcW w:type="dxa" w:w="3389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Change type</w:t>
            </w:r>
          </w:p>
        </w:tc>
        <w:tc>
          <w:tcPr>
            <w:tcW w:type="dxa" w:w="3389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Boundary</w:t>
            </w:r>
          </w:p>
        </w:tc>
      </w:tr>
      <w:tr>
        <w:tc>
          <w:tcPr>
            <w:tcW w:type="dxa" w:w="352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apps/dgfy-opis/src/features/businessAdmin/businessAdminManifest.js</w:t>
            </w:r>
          </w:p>
        </w:tc>
        <w:tc>
          <w:tcPr>
            <w:tcW w:type="dxa" w:w="4032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Extend settings manifest or Payment policies metadata.</w:t>
            </w:r>
          </w:p>
        </w:tc>
        <w:tc>
          <w:tcPr>
            <w:tcW w:type="dxa" w:w="208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OPIS only.</w:t>
            </w:r>
          </w:p>
        </w:tc>
      </w:tr>
      <w:tr>
        <w:tc>
          <w:tcPr>
            <w:tcW w:type="dxa" w:w="352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apps/dgfy-opis/src/features/businessAdmin/BusinessAdminPage.jsx</w:t>
            </w:r>
          </w:p>
        </w:tc>
        <w:tc>
          <w:tcPr>
            <w:tcW w:type="dxa" w:w="4032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Render configuration and source-aware payment summary states.</w:t>
            </w:r>
          </w:p>
        </w:tc>
        <w:tc>
          <w:tcPr>
            <w:tcW w:type="dxa" w:w="208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OPIS only.</w:t>
            </w:r>
          </w:p>
        </w:tc>
      </w:tr>
      <w:tr>
        <w:tc>
          <w:tcPr>
            <w:tcW w:type="dxa" w:w="352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apps/dgfy-opis/src/features/businessAdmin/businessAdminService.js</w:t>
            </w:r>
          </w:p>
        </w:tc>
        <w:tc>
          <w:tcPr>
            <w:tcW w:type="dxa" w:w="4032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Add tenant revenue calls or a local adapter.</w:t>
            </w:r>
          </w:p>
        </w:tc>
        <w:tc>
          <w:tcPr>
            <w:tcW w:type="dxa" w:w="208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OPIS only; reuse canonical API.</w:t>
            </w:r>
          </w:p>
        </w:tc>
      </w:tr>
      <w:tr>
        <w:tc>
          <w:tcPr>
            <w:tcW w:type="dxa" w:w="352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packages/web-core/src/services/tenantRevenueService.js</w:t>
            </w:r>
          </w:p>
        </w:tc>
        <w:tc>
          <w:tcPr>
            <w:tcW w:type="dxa" w:w="4032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Reuse existing service; extend only if response helper is missing.</w:t>
            </w:r>
          </w:p>
        </w:tc>
        <w:tc>
          <w:tcPr>
            <w:tcW w:type="dxa" w:w="208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Shared read-only service; no IMS-specific UI changes.</w:t>
            </w:r>
          </w:p>
        </w:tc>
      </w:tr>
      <w:tr>
        <w:tc>
          <w:tcPr>
            <w:tcW w:type="dxa" w:w="352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packages/web-core/src/features/reports/TenantRevenueReadOnlyPanel.jsx</w:t>
            </w:r>
          </w:p>
        </w:tc>
        <w:tc>
          <w:tcPr>
            <w:tcW w:type="dxa" w:w="4032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Validation target; update only if the canonical shared report contract requires source fields.</w:t>
            </w:r>
          </w:p>
        </w:tc>
        <w:tc>
          <w:tcPr>
            <w:tcW w:type="dxa" w:w="2088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Any edit must be reviewed for all consumers and must not add an IMS feature surface.</w:t>
            </w:r>
          </w:p>
        </w:tc>
      </w:tr>
    </w:tbl>
    <w:p/>
    <w:p>
      <w:pPr>
        <w:spacing w:before="160"/>
      </w:pPr>
      <w:r>
        <w:rPr>
          <w:i/>
          <w:color w:val="52606D"/>
          <w:sz w:val="17"/>
        </w:rPr>
        <w:t>OPIS is the Back Office destination. IMS remains untouched by design, not merely omitted from the first implementation batch.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2606D"/>
        <w:sz w:val="16"/>
      </w:rPr>
      <w:t>Plan version 1.0  |  2026-10-06  |  Local planning artifact</w:t>
    </w:r>
    <w:r>
      <w:t xml:space="preserve">    </w:t>
    </w: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2606D"/>
        <w:sz w:val="16"/>
      </w:rPr>
      <w:t>DGFY POS-DGFY  |  Configurable Payment Processing Fee  |  Section 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53B5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53B5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