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Configurable Payment Processing Fee</w:t>
      </w:r>
    </w:p>
    <w:p>
      <w:pPr>
        <w:spacing w:after="160"/>
      </w:pPr>
      <w:r>
        <w:rPr>
          <w:b/>
          <w:color w:val="0F766E"/>
          <w:sz w:val="22"/>
        </w:rPr>
        <w:t>Reports Audit and Historical Data</w:t>
      </w:r>
    </w:p>
    <w:tbl>
      <w:tblPr>
        <w:tblW w:type="auto" w:w="0"/>
        <w:tblLayout w:type="autofit"/>
        <w:tblLook w:firstColumn="1" w:firstRow="1" w:lastColumn="0" w:lastRow="0" w:noHBand="0" w:noVBand="1" w:val="04A0"/>
      </w:tblPr>
      <w:tblGrid>
        <w:gridCol w:w="5083"/>
        <w:gridCol w:w="5083"/>
      </w:tblGrid>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Project name</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POS-DGFY</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Plan version</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1.0</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Section</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06  Reports Audit and Historical Data</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Purpose</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Ensure that the Owner sees a coherent financial statement, exports carry source evidence, and historical transactions remain stable.</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Dependencies</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Sections 02 through 05; ADR 0052 ledger and read-only statement rules; existing report contracts.</w:t>
            </w:r>
          </w:p>
        </w:tc>
      </w:tr>
      <w:tr>
        <w:tc>
          <w:tcPr>
            <w:tcW w:type="dxa" w:w="5083"/>
            <w:shd w:fill="EAF2F8"/>
            <w:vAlign w:val="center"/>
            <w:tcBorders>
              <w:top w:val="single" w:sz="4" w:color="D9E2EC"/>
              <w:left w:val="single" w:sz="4" w:color="D9E2EC"/>
              <w:bottom w:val="single" w:sz="4" w:color="D9E2EC"/>
              <w:right w:val="single" w:sz="4" w:color="D9E2EC"/>
            </w:tcBorders>
          </w:tcPr>
          <w:p>
            <w:pPr>
              <w:spacing w:after="40"/>
            </w:pPr>
            <w:r>
              <w:rPr>
                <w:b/>
                <w:sz w:val="17"/>
              </w:rPr>
              <w:t>Implementation status</w:t>
            </w:r>
          </w:p>
        </w:tc>
        <w:tc>
          <w:tcPr>
            <w:tcW w:type="dxa" w:w="5083"/>
            <w:shd w:fill="FFFFFF"/>
            <w:vAlign w:val="center"/>
            <w:tcBorders>
              <w:top w:val="single" w:sz="4" w:color="D9E2EC"/>
              <w:left w:val="single" w:sz="4" w:color="D9E2EC"/>
              <w:bottom w:val="single" w:sz="4" w:color="D9E2EC"/>
              <w:right w:val="single" w:sz="4" w:color="D9E2EC"/>
            </w:tcBorders>
          </w:tcPr>
          <w:p>
            <w:pPr>
              <w:spacing w:after="40"/>
            </w:pPr>
            <w:r>
              <w:rPr>
                <w:sz w:val="17"/>
              </w:rPr>
              <w:t>Planning only. No application code is changed by this plan.</w:t>
            </w:r>
          </w:p>
        </w:tc>
      </w:tr>
    </w:tbl>
    <w:p/>
    <w:p>
      <w:pPr>
        <w:pStyle w:val="Heading1"/>
      </w:pPr>
      <w:r>
        <w:t>Reporting model</w:t>
      </w:r>
    </w:p>
    <w:p>
      <w:r>
        <w:t>There must be one source of truth for the amount and a clear decomposition for the reader. The report should never make the Owner add or subtract two opaque fee fields mentally.</w:t>
      </w:r>
    </w:p>
    <w:tbl>
      <w:tblPr>
        <w:tblW w:type="auto" w:w="0"/>
        <w:tblLayout w:type="autofit"/>
        <w:tblLook w:firstColumn="1" w:firstRow="1" w:lastColumn="0" w:lastRow="0" w:noHBand="0" w:noVBand="1" w:val="04A0"/>
      </w:tblPr>
      <w:tblGrid>
        <w:gridCol w:w="3389"/>
        <w:gridCol w:w="3389"/>
        <w:gridCol w:w="3389"/>
      </w:tblGrid>
      <w:tr>
        <w:tc>
          <w:tcPr>
            <w:tcW w:type="dxa" w:w="3389"/>
            <w:shd w:fill="153B50"/>
            <w:tcBorders>
              <w:top w:val="single" w:sz="6" w:color="153B50"/>
              <w:left w:val="single" w:sz="4" w:color="FFFFFF"/>
              <w:bottom w:val="single" w:sz="6" w:color="153B50"/>
              <w:right w:val="single" w:sz="4" w:color="FFFFFF"/>
            </w:tcBorders>
          </w:tcPr>
          <w:p>
            <w:r>
              <w:rPr>
                <w:b/>
                <w:color w:val="FFFFFF"/>
                <w:sz w:val="17"/>
              </w:rPr>
              <w:t>Displayed metric</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Formula or source</w:t>
            </w:r>
          </w:p>
        </w:tc>
        <w:tc>
          <w:tcPr>
            <w:tcW w:type="dxa" w:w="3389"/>
            <w:shd w:fill="153B50"/>
            <w:tcBorders>
              <w:top w:val="single" w:sz="6" w:color="153B50"/>
              <w:left w:val="single" w:sz="4" w:color="FFFFFF"/>
              <w:bottom w:val="single" w:sz="6" w:color="153B50"/>
              <w:right w:val="single" w:sz="4" w:color="FFFFFF"/>
            </w:tcBorders>
          </w:tcPr>
          <w:p>
            <w:r>
              <w:rPr>
                <w:b/>
                <w:color w:val="FFFFFF"/>
                <w:sz w:val="17"/>
              </w:rPr>
              <w:t>Label</w:t>
            </w:r>
          </w:p>
        </w:tc>
      </w:tr>
      <w:tr>
        <w:tc>
          <w:tcPr>
            <w:tcW w:type="dxa" w:w="2448"/>
            <w:shd w:fill="F8FAFC"/>
            <w:tcBorders>
              <w:top w:val="single" w:sz="3" w:color="D9E2EC"/>
              <w:left w:val="single" w:sz="3" w:color="D9E2EC"/>
              <w:bottom w:val="single" w:sz="3" w:color="D9E2EC"/>
              <w:right w:val="single" w:sz="3" w:color="D9E2EC"/>
            </w:tcBorders>
          </w:tcPr>
          <w:p>
            <w:pPr>
              <w:spacing w:after="20"/>
            </w:pPr>
            <w:r>
              <w:rPr>
                <w:sz w:val="16"/>
              </w:rPr>
              <w:t>Gross collected</w:t>
            </w:r>
          </w:p>
        </w:tc>
        <w:tc>
          <w:tcPr>
            <w:tcW w:type="dxa" w:w="4824"/>
            <w:shd w:fill="F8FAFC"/>
            <w:tcBorders>
              <w:top w:val="single" w:sz="3" w:color="D9E2EC"/>
              <w:left w:val="single" w:sz="3" w:color="D9E2EC"/>
              <w:bottom w:val="single" w:sz="3" w:color="D9E2EC"/>
              <w:right w:val="single" w:sz="3" w:color="D9E2EC"/>
            </w:tcBorders>
          </w:tcPr>
          <w:p>
            <w:pPr>
              <w:spacing w:after="20"/>
            </w:pPr>
            <w:r>
              <w:rPr>
                <w:sz w:val="16"/>
              </w:rPr>
              <w:t>Sum of gross_amount_centavos for in-scope online payments.</w:t>
            </w:r>
          </w:p>
        </w:tc>
        <w:tc>
          <w:tcPr>
            <w:tcW w:type="dxa" w:w="2376"/>
            <w:shd w:fill="F8FAFC"/>
            <w:tcBorders>
              <w:top w:val="single" w:sz="3" w:color="D9E2EC"/>
              <w:left w:val="single" w:sz="3" w:color="D9E2EC"/>
              <w:bottom w:val="single" w:sz="3" w:color="D9E2EC"/>
              <w:right w:val="single" w:sz="3" w:color="D9E2EC"/>
            </w:tcBorders>
          </w:tcPr>
          <w:p>
            <w:pPr>
              <w:spacing w:after="20"/>
            </w:pPr>
            <w:r>
              <w:rPr>
                <w:sz w:val="16"/>
              </w:rPr>
              <w:t>Sales collected</w:t>
            </w:r>
          </w:p>
        </w:tc>
      </w:tr>
      <w:tr>
        <w:tc>
          <w:tcPr>
            <w:tcW w:type="dxa" w:w="2448"/>
            <w:tcBorders>
              <w:top w:val="single" w:sz="3" w:color="D9E2EC"/>
              <w:left w:val="single" w:sz="3" w:color="D9E2EC"/>
              <w:bottom w:val="single" w:sz="3" w:color="D9E2EC"/>
              <w:right w:val="single" w:sz="3" w:color="D9E2EC"/>
            </w:tcBorders>
          </w:tcPr>
          <w:p>
            <w:pPr>
              <w:spacing w:after="20"/>
            </w:pPr>
            <w:r>
              <w:rPr>
                <w:sz w:val="16"/>
              </w:rPr>
              <w:t>Provider processing fees</w:t>
            </w:r>
          </w:p>
        </w:tc>
        <w:tc>
          <w:tcPr>
            <w:tcW w:type="dxa" w:w="4824"/>
            <w:tcBorders>
              <w:top w:val="single" w:sz="3" w:color="D9E2EC"/>
              <w:left w:val="single" w:sz="3" w:color="D9E2EC"/>
              <w:bottom w:val="single" w:sz="3" w:color="D9E2EC"/>
              <w:right w:val="single" w:sz="3" w:color="D9E2EC"/>
            </w:tcBorders>
          </w:tcPr>
          <w:p>
            <w:pPr>
              <w:spacing w:after="20"/>
            </w:pPr>
            <w:r>
              <w:rPr>
                <w:sz w:val="16"/>
              </w:rPr>
              <w:t>Sum provider_fee_centavos, with separate actual and estimated source totals.</w:t>
            </w:r>
          </w:p>
        </w:tc>
        <w:tc>
          <w:tcPr>
            <w:tcW w:type="dxa" w:w="2376"/>
            <w:tcBorders>
              <w:top w:val="single" w:sz="3" w:color="D9E2EC"/>
              <w:left w:val="single" w:sz="3" w:color="D9E2EC"/>
              <w:bottom w:val="single" w:sz="3" w:color="D9E2EC"/>
              <w:right w:val="single" w:sz="3" w:color="D9E2EC"/>
            </w:tcBorders>
          </w:tcPr>
          <w:p>
            <w:pPr>
              <w:spacing w:after="20"/>
            </w:pPr>
            <w:r>
              <w:rPr>
                <w:sz w:val="16"/>
              </w:rPr>
              <w:t>Payment processing fees</w:t>
            </w:r>
          </w:p>
        </w:tc>
      </w:tr>
      <w:tr>
        <w:tc>
          <w:tcPr>
            <w:tcW w:type="dxa" w:w="2448"/>
            <w:shd w:fill="F8FAFC"/>
            <w:tcBorders>
              <w:top w:val="single" w:sz="3" w:color="D9E2EC"/>
              <w:left w:val="single" w:sz="3" w:color="D9E2EC"/>
              <w:bottom w:val="single" w:sz="3" w:color="D9E2EC"/>
              <w:right w:val="single" w:sz="3" w:color="D9E2EC"/>
            </w:tcBorders>
          </w:tcPr>
          <w:p>
            <w:pPr>
              <w:spacing w:after="20"/>
            </w:pPr>
            <w:r>
              <w:rPr>
                <w:sz w:val="16"/>
              </w:rPr>
              <w:t>DGFY platform fee</w:t>
            </w:r>
          </w:p>
        </w:tc>
        <w:tc>
          <w:tcPr>
            <w:tcW w:type="dxa" w:w="4824"/>
            <w:shd w:fill="F8FAFC"/>
            <w:tcBorders>
              <w:top w:val="single" w:sz="3" w:color="D9E2EC"/>
              <w:left w:val="single" w:sz="3" w:color="D9E2EC"/>
              <w:bottom w:val="single" w:sz="3" w:color="D9E2EC"/>
              <w:right w:val="single" w:sz="3" w:color="D9E2EC"/>
            </w:tcBorders>
          </w:tcPr>
          <w:p>
            <w:pPr>
              <w:spacing w:after="20"/>
            </w:pPr>
            <w:r>
              <w:rPr>
                <w:sz w:val="16"/>
              </w:rPr>
              <w:t>Sum dgfy_fee_centavos according to the tenant policy snapshot.</w:t>
            </w:r>
          </w:p>
        </w:tc>
        <w:tc>
          <w:tcPr>
            <w:tcW w:type="dxa" w:w="2376"/>
            <w:shd w:fill="F8FAFC"/>
            <w:tcBorders>
              <w:top w:val="single" w:sz="3" w:color="D9E2EC"/>
              <w:left w:val="single" w:sz="3" w:color="D9E2EC"/>
              <w:bottom w:val="single" w:sz="3" w:color="D9E2EC"/>
              <w:right w:val="single" w:sz="3" w:color="D9E2EC"/>
            </w:tcBorders>
          </w:tcPr>
          <w:p>
            <w:pPr>
              <w:spacing w:after="20"/>
            </w:pPr>
            <w:r>
              <w:rPr>
                <w:sz w:val="16"/>
              </w:rPr>
              <w:t>Platform fee</w:t>
            </w:r>
          </w:p>
        </w:tc>
      </w:tr>
      <w:tr>
        <w:tc>
          <w:tcPr>
            <w:tcW w:type="dxa" w:w="2448"/>
            <w:tcBorders>
              <w:top w:val="single" w:sz="3" w:color="D9E2EC"/>
              <w:left w:val="single" w:sz="3" w:color="D9E2EC"/>
              <w:bottom w:val="single" w:sz="3" w:color="D9E2EC"/>
              <w:right w:val="single" w:sz="3" w:color="D9E2EC"/>
            </w:tcBorders>
          </w:tcPr>
          <w:p>
            <w:pPr>
              <w:spacing w:after="20"/>
            </w:pPr>
            <w:r>
              <w:rPr>
                <w:sz w:val="16"/>
              </w:rPr>
              <w:t>Refunds and chargebacks</w:t>
            </w:r>
          </w:p>
        </w:tc>
        <w:tc>
          <w:tcPr>
            <w:tcW w:type="dxa" w:w="4824"/>
            <w:tcBorders>
              <w:top w:val="single" w:sz="3" w:color="D9E2EC"/>
              <w:left w:val="single" w:sz="3" w:color="D9E2EC"/>
              <w:bottom w:val="single" w:sz="3" w:color="D9E2EC"/>
              <w:right w:val="single" w:sz="3" w:color="D9E2EC"/>
            </w:tcBorders>
          </w:tcPr>
          <w:p>
            <w:pPr>
              <w:spacing w:after="20"/>
            </w:pPr>
            <w:r>
              <w:rPr>
                <w:sz w:val="16"/>
              </w:rPr>
              <w:t>Existing immutable correction totals.</w:t>
            </w:r>
          </w:p>
        </w:tc>
        <w:tc>
          <w:tcPr>
            <w:tcW w:type="dxa" w:w="2376"/>
            <w:tcBorders>
              <w:top w:val="single" w:sz="3" w:color="D9E2EC"/>
              <w:left w:val="single" w:sz="3" w:color="D9E2EC"/>
              <w:bottom w:val="single" w:sz="3" w:color="D9E2EC"/>
              <w:right w:val="single" w:sz="3" w:color="D9E2EC"/>
            </w:tcBorders>
          </w:tcPr>
          <w:p>
            <w:pPr>
              <w:spacing w:after="20"/>
            </w:pPr>
            <w:r>
              <w:rPr>
                <w:sz w:val="16"/>
              </w:rPr>
              <w:t>Refunds and chargebacks</w:t>
            </w:r>
          </w:p>
        </w:tc>
      </w:tr>
      <w:tr>
        <w:tc>
          <w:tcPr>
            <w:tcW w:type="dxa" w:w="2448"/>
            <w:shd w:fill="F8FAFC"/>
            <w:tcBorders>
              <w:top w:val="single" w:sz="3" w:color="D9E2EC"/>
              <w:left w:val="single" w:sz="3" w:color="D9E2EC"/>
              <w:bottom w:val="single" w:sz="3" w:color="D9E2EC"/>
              <w:right w:val="single" w:sz="3" w:color="D9E2EC"/>
            </w:tcBorders>
          </w:tcPr>
          <w:p>
            <w:pPr>
              <w:spacing w:after="20"/>
            </w:pPr>
            <w:r>
              <w:rPr>
                <w:sz w:val="16"/>
              </w:rPr>
              <w:t>Tenant amount due</w:t>
            </w:r>
          </w:p>
        </w:tc>
        <w:tc>
          <w:tcPr>
            <w:tcW w:type="dxa" w:w="4824"/>
            <w:shd w:fill="F8FAFC"/>
            <w:tcBorders>
              <w:top w:val="single" w:sz="3" w:color="D9E2EC"/>
              <w:left w:val="single" w:sz="3" w:color="D9E2EC"/>
              <w:bottom w:val="single" w:sz="3" w:color="D9E2EC"/>
              <w:right w:val="single" w:sz="3" w:color="D9E2EC"/>
            </w:tcBorders>
          </w:tcPr>
          <w:p>
            <w:pPr>
              <w:spacing w:after="20"/>
            </w:pPr>
            <w:r>
              <w:rPr>
                <w:sz w:val="16"/>
              </w:rPr>
              <w:t>Existing tenant_net_payable_centavos and approved adjustments.</w:t>
            </w:r>
          </w:p>
        </w:tc>
        <w:tc>
          <w:tcPr>
            <w:tcW w:type="dxa" w:w="2376"/>
            <w:shd w:fill="F8FAFC"/>
            <w:tcBorders>
              <w:top w:val="single" w:sz="3" w:color="D9E2EC"/>
              <w:left w:val="single" w:sz="3" w:color="D9E2EC"/>
              <w:bottom w:val="single" w:sz="3" w:color="D9E2EC"/>
              <w:right w:val="single" w:sz="3" w:color="D9E2EC"/>
            </w:tcBorders>
          </w:tcPr>
          <w:p>
            <w:pPr>
              <w:spacing w:after="20"/>
            </w:pPr>
            <w:r>
              <w:rPr>
                <w:sz w:val="16"/>
              </w:rPr>
              <w:t>Amount due to your business</w:t>
            </w:r>
          </w:p>
        </w:tc>
      </w:tr>
      <w:tr>
        <w:tc>
          <w:tcPr>
            <w:tcW w:type="dxa" w:w="2448"/>
            <w:tcBorders>
              <w:top w:val="single" w:sz="3" w:color="D9E2EC"/>
              <w:left w:val="single" w:sz="3" w:color="D9E2EC"/>
              <w:bottom w:val="single" w:sz="3" w:color="D9E2EC"/>
              <w:right w:val="single" w:sz="3" w:color="D9E2EC"/>
            </w:tcBorders>
          </w:tcPr>
          <w:p>
            <w:pPr>
              <w:spacing w:after="20"/>
            </w:pPr>
            <w:r>
              <w:rPr>
                <w:sz w:val="16"/>
              </w:rPr>
              <w:t>Unresolved fees</w:t>
            </w:r>
          </w:p>
        </w:tc>
        <w:tc>
          <w:tcPr>
            <w:tcW w:type="dxa" w:w="4824"/>
            <w:tcBorders>
              <w:top w:val="single" w:sz="3" w:color="D9E2EC"/>
              <w:left w:val="single" w:sz="3" w:color="D9E2EC"/>
              <w:bottom w:val="single" w:sz="3" w:color="D9E2EC"/>
              <w:right w:val="single" w:sz="3" w:color="D9E2EC"/>
            </w:tcBorders>
          </w:tcPr>
          <w:p>
            <w:pPr>
              <w:spacing w:after="20"/>
            </w:pPr>
            <w:r>
              <w:rPr>
                <w:sz w:val="16"/>
              </w:rPr>
              <w:t>Transactions with manual_review, exception, or approved status that is not final.</w:t>
            </w:r>
          </w:p>
        </w:tc>
        <w:tc>
          <w:tcPr>
            <w:tcW w:type="dxa" w:w="2376"/>
            <w:tcBorders>
              <w:top w:val="single" w:sz="3" w:color="D9E2EC"/>
              <w:left w:val="single" w:sz="3" w:color="D9E2EC"/>
              <w:bottom w:val="single" w:sz="3" w:color="D9E2EC"/>
              <w:right w:val="single" w:sz="3" w:color="D9E2EC"/>
            </w:tcBorders>
          </w:tcPr>
          <w:p>
            <w:pPr>
              <w:spacing w:after="20"/>
            </w:pPr>
            <w:r>
              <w:rPr>
                <w:sz w:val="16"/>
              </w:rPr>
              <w:t>Needs reconciliation</w:t>
            </w:r>
          </w:p>
        </w:tc>
      </w:tr>
    </w:tbl>
    <w:p/>
    <w:p>
      <w:pPr>
        <w:pStyle w:val="Heading1"/>
      </w:pPr>
      <w:r>
        <w:t>Source-aware transaction report</w:t>
      </w:r>
    </w:p>
    <w:p>
      <w:pPr>
        <w:pStyle w:val="ListBullet"/>
      </w:pPr>
      <w:r>
        <w:t>Payment method is normalized to card, ewallet, qrph, online_banking, or other.</w:t>
      </w:r>
    </w:p>
    <w:p>
      <w:pPr>
        <w:pStyle w:val="ListBullet"/>
      </w:pPr>
      <w:r>
        <w:t>provider_fee_source is rendered as Actual provider, Reconciled statement, Configured fallback estimate, or Manual review.</w:t>
      </w:r>
    </w:p>
    <w:p>
      <w:pPr>
        <w:pStyle w:val="ListBullet"/>
      </w:pPr>
      <w:r>
        <w:t>The report shows policy version and effective date for fallback rows so a future configuration change cannot rewrite the explanation.</w:t>
      </w:r>
    </w:p>
    <w:p>
      <w:pPr>
        <w:pStyle w:val="ListBullet"/>
      </w:pPr>
      <w:r>
        <w:t>A fallback row must remain visually distinct even if the amount is numerically plausible.</w:t>
      </w:r>
    </w:p>
    <w:p>
      <w:pPr>
        <w:pStyle w:val="ListBullet"/>
      </w:pPr>
      <w:r>
        <w:t>A null provider fee remains null or unresolved; the report must not convert it to PHP 0.00 unless the provider explicitly reported zero.</w:t>
      </w:r>
    </w:p>
    <w:p>
      <w:pPr>
        <w:pStyle w:val="Heading1"/>
      </w:pPr>
      <w:r>
        <w:t>Exports</w:t>
      </w:r>
    </w:p>
    <w:tbl>
      <w:tblPr>
        <w:tblW w:type="auto" w:w="0"/>
        <w:tblLayout w:type="autofit"/>
        <w:tblLook w:firstColumn="1" w:firstRow="1" w:lastColumn="0" w:lastRow="0" w:noHBand="0" w:noVBand="1" w:val="04A0"/>
      </w:tblPr>
      <w:tblGrid>
        <w:gridCol w:w="2541"/>
        <w:gridCol w:w="2541"/>
        <w:gridCol w:w="2541"/>
        <w:gridCol w:w="2541"/>
      </w:tblGrid>
      <w:tr>
        <w:tc>
          <w:tcPr>
            <w:tcW w:type="dxa" w:w="2541"/>
            <w:shd w:fill="153B50"/>
            <w:tcBorders>
              <w:top w:val="single" w:sz="6" w:color="153B50"/>
              <w:left w:val="single" w:sz="4" w:color="FFFFFF"/>
              <w:bottom w:val="single" w:sz="6" w:color="153B50"/>
              <w:right w:val="single" w:sz="4" w:color="FFFFFF"/>
            </w:tcBorders>
          </w:tcPr>
          <w:p>
            <w:r>
              <w:rPr>
                <w:b/>
                <w:color w:val="FFFFFF"/>
                <w:sz w:val="17"/>
              </w:rPr>
              <w:t>ID</w:t>
            </w:r>
          </w:p>
        </w:tc>
        <w:tc>
          <w:tcPr>
            <w:tcW w:type="dxa" w:w="2541"/>
            <w:shd w:fill="153B50"/>
            <w:tcBorders>
              <w:top w:val="single" w:sz="6" w:color="153B50"/>
              <w:left w:val="single" w:sz="4" w:color="FFFFFF"/>
              <w:bottom w:val="single" w:sz="6" w:color="153B50"/>
              <w:right w:val="single" w:sz="4" w:color="FFFFFF"/>
            </w:tcBorders>
          </w:tcPr>
          <w:p>
            <w:r>
              <w:rPr>
                <w:b/>
                <w:color w:val="FFFFFF"/>
                <w:sz w:val="17"/>
              </w:rPr>
              <w:t>Requirement</w:t>
            </w:r>
          </w:p>
        </w:tc>
        <w:tc>
          <w:tcPr>
            <w:tcW w:type="dxa" w:w="2541"/>
            <w:shd w:fill="153B50"/>
            <w:tcBorders>
              <w:top w:val="single" w:sz="6" w:color="153B50"/>
              <w:left w:val="single" w:sz="4" w:color="FFFFFF"/>
              <w:bottom w:val="single" w:sz="6" w:color="153B50"/>
              <w:right w:val="single" w:sz="4" w:color="FFFFFF"/>
            </w:tcBorders>
          </w:tcPr>
          <w:p>
            <w:r>
              <w:rPr>
                <w:b/>
                <w:color w:val="FFFFFF"/>
                <w:sz w:val="17"/>
              </w:rPr>
              <w:t>Priority</w:t>
            </w:r>
          </w:p>
        </w:tc>
        <w:tc>
          <w:tcPr>
            <w:tcW w:type="dxa" w:w="2541"/>
            <w:shd w:fill="153B50"/>
            <w:tcBorders>
              <w:top w:val="single" w:sz="6" w:color="153B50"/>
              <w:left w:val="single" w:sz="4" w:color="FFFFFF"/>
              <w:bottom w:val="single" w:sz="6" w:color="153B50"/>
              <w:right w:val="single" w:sz="4" w:color="FFFFFF"/>
            </w:tcBorders>
          </w:tcPr>
          <w:p>
            <w:r>
              <w:rPr>
                <w:b/>
                <w:color w:val="FFFFFF"/>
                <w:sz w:val="17"/>
              </w:rPr>
              <w:t>Verification</w:t>
            </w:r>
          </w:p>
        </w:tc>
      </w:tr>
      <w:tr>
        <w:tc>
          <w:tcPr>
            <w:tcW w:type="dxa" w:w="936"/>
            <w:shd w:fill="F8FAFC"/>
            <w:tcBorders>
              <w:top w:val="single" w:sz="3" w:color="D9E2EC"/>
              <w:left w:val="single" w:sz="3" w:color="D9E2EC"/>
              <w:bottom w:val="single" w:sz="3" w:color="D9E2EC"/>
              <w:right w:val="single" w:sz="3" w:color="D9E2EC"/>
            </w:tcBorders>
          </w:tcPr>
          <w:p>
            <w:pPr>
              <w:spacing w:after="20"/>
            </w:pPr>
            <w:r>
              <w:rPr>
                <w:sz w:val="16"/>
              </w:rPr>
              <w:t>REP-003</w:t>
            </w:r>
          </w:p>
        </w:tc>
        <w:tc>
          <w:tcPr>
            <w:tcW w:type="dxa" w:w="5400"/>
            <w:shd w:fill="F8FAFC"/>
            <w:tcBorders>
              <w:top w:val="single" w:sz="3" w:color="D9E2EC"/>
              <w:left w:val="single" w:sz="3" w:color="D9E2EC"/>
              <w:bottom w:val="single" w:sz="3" w:color="D9E2EC"/>
              <w:right w:val="single" w:sz="3" w:color="D9E2EC"/>
            </w:tcBorders>
          </w:tcPr>
          <w:p>
            <w:pPr>
              <w:spacing w:after="20"/>
            </w:pPr>
            <w:r>
              <w:rPr>
                <w:sz w:val="16"/>
              </w:rPr>
              <w:t>CSV includes payment reference, paid date, payment method, gross, provider fee, source, provider VAT when known, DGFY platform fee, tenant provider fee share, tenant amount due, policy version, and reconciliation status.</w:t>
            </w:r>
          </w:p>
        </w:tc>
        <w:tc>
          <w:tcPr>
            <w:tcW w:type="dxa" w:w="936"/>
            <w:shd w:fill="F8FAFC"/>
            <w:tcBorders>
              <w:top w:val="single" w:sz="3" w:color="D9E2EC"/>
              <w:left w:val="single" w:sz="3" w:color="D9E2EC"/>
              <w:bottom w:val="single" w:sz="3" w:color="D9E2EC"/>
              <w:right w:val="single" w:sz="3" w:color="D9E2EC"/>
            </w:tcBorders>
          </w:tcPr>
          <w:p>
            <w:pPr>
              <w:spacing w:after="20"/>
            </w:pPr>
            <w:r>
              <w:rPr>
                <w:sz w:val="16"/>
              </w:rPr>
              <w:t>P1</w:t>
            </w:r>
          </w:p>
        </w:tc>
        <w:tc>
          <w:tcPr>
            <w:tcW w:type="dxa" w:w="2016"/>
            <w:shd w:fill="F8FAFC"/>
            <w:tcBorders>
              <w:top w:val="single" w:sz="3" w:color="D9E2EC"/>
              <w:left w:val="single" w:sz="3" w:color="D9E2EC"/>
              <w:bottom w:val="single" w:sz="3" w:color="D9E2EC"/>
              <w:right w:val="single" w:sz="3" w:color="D9E2EC"/>
            </w:tcBorders>
          </w:tcPr>
          <w:p>
            <w:pPr>
              <w:spacing w:after="20"/>
            </w:pPr>
            <w:r>
              <w:rPr>
                <w:sz w:val="16"/>
              </w:rPr>
              <w:t>CSV contract test</w:t>
            </w:r>
          </w:p>
        </w:tc>
      </w:tr>
      <w:tr>
        <w:tc>
          <w:tcPr>
            <w:tcW w:type="dxa" w:w="936"/>
            <w:tcBorders>
              <w:top w:val="single" w:sz="3" w:color="D9E2EC"/>
              <w:left w:val="single" w:sz="3" w:color="D9E2EC"/>
              <w:bottom w:val="single" w:sz="3" w:color="D9E2EC"/>
              <w:right w:val="single" w:sz="3" w:color="D9E2EC"/>
            </w:tcBorders>
          </w:tcPr>
          <w:p>
            <w:pPr>
              <w:spacing w:after="20"/>
            </w:pPr>
            <w:r>
              <w:rPr>
                <w:sz w:val="16"/>
              </w:rPr>
              <w:t>REP-004</w:t>
            </w:r>
          </w:p>
        </w:tc>
        <w:tc>
          <w:tcPr>
            <w:tcW w:type="dxa" w:w="5400"/>
            <w:tcBorders>
              <w:top w:val="single" w:sz="3" w:color="D9E2EC"/>
              <w:left w:val="single" w:sz="3" w:color="D9E2EC"/>
              <w:bottom w:val="single" w:sz="3" w:color="D9E2EC"/>
              <w:right w:val="single" w:sz="3" w:color="D9E2EC"/>
            </w:tcBorders>
          </w:tcPr>
          <w:p>
            <w:pPr>
              <w:spacing w:after="20"/>
            </w:pPr>
            <w:r>
              <w:rPr>
                <w:sz w:val="16"/>
              </w:rPr>
              <w:t>Date and tenant filters produce the same scope in summary, table, and export.</w:t>
            </w:r>
          </w:p>
        </w:tc>
        <w:tc>
          <w:tcPr>
            <w:tcW w:type="dxa" w:w="936"/>
            <w:tcBorders>
              <w:top w:val="single" w:sz="3" w:color="D9E2EC"/>
              <w:left w:val="single" w:sz="3" w:color="D9E2EC"/>
              <w:bottom w:val="single" w:sz="3" w:color="D9E2EC"/>
              <w:right w:val="single" w:sz="3" w:color="D9E2EC"/>
            </w:tcBorders>
          </w:tcPr>
          <w:p>
            <w:pPr>
              <w:spacing w:after="20"/>
            </w:pPr>
            <w:r>
              <w:rPr>
                <w:sz w:val="16"/>
              </w:rPr>
              <w:t>P0</w:t>
            </w:r>
          </w:p>
        </w:tc>
        <w:tc>
          <w:tcPr>
            <w:tcW w:type="dxa" w:w="2016"/>
            <w:tcBorders>
              <w:top w:val="single" w:sz="3" w:color="D9E2EC"/>
              <w:left w:val="single" w:sz="3" w:color="D9E2EC"/>
              <w:bottom w:val="single" w:sz="3" w:color="D9E2EC"/>
              <w:right w:val="single" w:sz="3" w:color="D9E2EC"/>
            </w:tcBorders>
          </w:tcPr>
          <w:p>
            <w:pPr>
              <w:spacing w:after="20"/>
            </w:pPr>
            <w:r>
              <w:rPr>
                <w:sz w:val="16"/>
              </w:rPr>
              <w:t>API integration test</w:t>
            </w:r>
          </w:p>
        </w:tc>
      </w:tr>
      <w:tr>
        <w:tc>
          <w:tcPr>
            <w:tcW w:type="dxa" w:w="936"/>
            <w:shd w:fill="F8FAFC"/>
            <w:tcBorders>
              <w:top w:val="single" w:sz="3" w:color="D9E2EC"/>
              <w:left w:val="single" w:sz="3" w:color="D9E2EC"/>
              <w:bottom w:val="single" w:sz="3" w:color="D9E2EC"/>
              <w:right w:val="single" w:sz="3" w:color="D9E2EC"/>
            </w:tcBorders>
          </w:tcPr>
          <w:p>
            <w:pPr>
              <w:spacing w:after="20"/>
            </w:pPr>
            <w:r>
              <w:rPr>
                <w:sz w:val="16"/>
              </w:rPr>
              <w:t>REP-005</w:t>
            </w:r>
          </w:p>
        </w:tc>
        <w:tc>
          <w:tcPr>
            <w:tcW w:type="dxa" w:w="5400"/>
            <w:shd w:fill="F8FAFC"/>
            <w:tcBorders>
              <w:top w:val="single" w:sz="3" w:color="D9E2EC"/>
              <w:left w:val="single" w:sz="3" w:color="D9E2EC"/>
              <w:bottom w:val="single" w:sz="3" w:color="D9E2EC"/>
              <w:right w:val="single" w:sz="3" w:color="D9E2EC"/>
            </w:tcBorders>
          </w:tcPr>
          <w:p>
            <w:pPr>
              <w:spacing w:after="20"/>
            </w:pPr>
            <w:r>
              <w:rPr>
                <w:sz w:val="16"/>
              </w:rPr>
              <w:t>Summary source totals reconcile to transaction rows for the same date range.</w:t>
            </w:r>
          </w:p>
        </w:tc>
        <w:tc>
          <w:tcPr>
            <w:tcW w:type="dxa" w:w="936"/>
            <w:shd w:fill="F8FAFC"/>
            <w:tcBorders>
              <w:top w:val="single" w:sz="3" w:color="D9E2EC"/>
              <w:left w:val="single" w:sz="3" w:color="D9E2EC"/>
              <w:bottom w:val="single" w:sz="3" w:color="D9E2EC"/>
              <w:right w:val="single" w:sz="3" w:color="D9E2EC"/>
            </w:tcBorders>
          </w:tcPr>
          <w:p>
            <w:pPr>
              <w:spacing w:after="20"/>
            </w:pPr>
            <w:r>
              <w:rPr>
                <w:sz w:val="16"/>
              </w:rPr>
              <w:t>P0</w:t>
            </w:r>
          </w:p>
        </w:tc>
        <w:tc>
          <w:tcPr>
            <w:tcW w:type="dxa" w:w="2016"/>
            <w:shd w:fill="F8FAFC"/>
            <w:tcBorders>
              <w:top w:val="single" w:sz="3" w:color="D9E2EC"/>
              <w:left w:val="single" w:sz="3" w:color="D9E2EC"/>
              <w:bottom w:val="single" w:sz="3" w:color="D9E2EC"/>
              <w:right w:val="single" w:sz="3" w:color="D9E2EC"/>
            </w:tcBorders>
          </w:tcPr>
          <w:p>
            <w:pPr>
              <w:spacing w:after="20"/>
            </w:pPr>
            <w:r>
              <w:rPr>
                <w:sz w:val="16"/>
              </w:rPr>
              <w:t>Aggregation test</w:t>
            </w:r>
          </w:p>
        </w:tc>
      </w:tr>
      <w:tr>
        <w:tc>
          <w:tcPr>
            <w:tcW w:type="dxa" w:w="936"/>
            <w:tcBorders>
              <w:top w:val="single" w:sz="3" w:color="D9E2EC"/>
              <w:left w:val="single" w:sz="3" w:color="D9E2EC"/>
              <w:bottom w:val="single" w:sz="3" w:color="D9E2EC"/>
              <w:right w:val="single" w:sz="3" w:color="D9E2EC"/>
            </w:tcBorders>
          </w:tcPr>
          <w:p>
            <w:pPr>
              <w:spacing w:after="20"/>
            </w:pPr>
            <w:r>
              <w:rPr>
                <w:sz w:val="16"/>
              </w:rPr>
              <w:t>REP-006</w:t>
            </w:r>
          </w:p>
        </w:tc>
        <w:tc>
          <w:tcPr>
            <w:tcW w:type="dxa" w:w="5400"/>
            <w:tcBorders>
              <w:top w:val="single" w:sz="3" w:color="D9E2EC"/>
              <w:left w:val="single" w:sz="3" w:color="D9E2EC"/>
              <w:bottom w:val="single" w:sz="3" w:color="D9E2EC"/>
              <w:right w:val="single" w:sz="3" w:color="D9E2EC"/>
            </w:tcBorders>
          </w:tcPr>
          <w:p>
            <w:pPr>
              <w:spacing w:after="20"/>
            </w:pPr>
            <w:r>
              <w:rPr>
                <w:sz w:val="16"/>
              </w:rPr>
              <w:t>Fallback estimate totals are separately identifiable from actual provider totals.</w:t>
            </w:r>
          </w:p>
        </w:tc>
        <w:tc>
          <w:tcPr>
            <w:tcW w:type="dxa" w:w="936"/>
            <w:tcBorders>
              <w:top w:val="single" w:sz="3" w:color="D9E2EC"/>
              <w:left w:val="single" w:sz="3" w:color="D9E2EC"/>
              <w:bottom w:val="single" w:sz="3" w:color="D9E2EC"/>
              <w:right w:val="single" w:sz="3" w:color="D9E2EC"/>
            </w:tcBorders>
          </w:tcPr>
          <w:p>
            <w:pPr>
              <w:spacing w:after="20"/>
            </w:pPr>
            <w:r>
              <w:rPr>
                <w:sz w:val="16"/>
              </w:rPr>
              <w:t>P0</w:t>
            </w:r>
          </w:p>
        </w:tc>
        <w:tc>
          <w:tcPr>
            <w:tcW w:type="dxa" w:w="2016"/>
            <w:tcBorders>
              <w:top w:val="single" w:sz="3" w:color="D9E2EC"/>
              <w:left w:val="single" w:sz="3" w:color="D9E2EC"/>
              <w:bottom w:val="single" w:sz="3" w:color="D9E2EC"/>
              <w:right w:val="single" w:sz="3" w:color="D9E2EC"/>
            </w:tcBorders>
          </w:tcPr>
          <w:p>
            <w:pPr>
              <w:spacing w:after="20"/>
            </w:pPr>
            <w:r>
              <w:rPr>
                <w:sz w:val="16"/>
              </w:rPr>
              <w:t>Report assertion</w:t>
            </w:r>
          </w:p>
        </w:tc>
      </w:tr>
      <w:tr>
        <w:tc>
          <w:tcPr>
            <w:tcW w:type="dxa" w:w="936"/>
            <w:shd w:fill="F8FAFC"/>
            <w:tcBorders>
              <w:top w:val="single" w:sz="3" w:color="D9E2EC"/>
              <w:left w:val="single" w:sz="3" w:color="D9E2EC"/>
              <w:bottom w:val="single" w:sz="3" w:color="D9E2EC"/>
              <w:right w:val="single" w:sz="3" w:color="D9E2EC"/>
            </w:tcBorders>
          </w:tcPr>
          <w:p>
            <w:pPr>
              <w:spacing w:after="20"/>
            </w:pPr>
            <w:r>
              <w:rPr>
                <w:sz w:val="16"/>
              </w:rPr>
              <w:t>REP-007</w:t>
            </w:r>
          </w:p>
        </w:tc>
        <w:tc>
          <w:tcPr>
            <w:tcW w:type="dxa" w:w="5400"/>
            <w:shd w:fill="F8FAFC"/>
            <w:tcBorders>
              <w:top w:val="single" w:sz="3" w:color="D9E2EC"/>
              <w:left w:val="single" w:sz="3" w:color="D9E2EC"/>
              <w:bottom w:val="single" w:sz="3" w:color="D9E2EC"/>
              <w:right w:val="single" w:sz="3" w:color="D9E2EC"/>
            </w:tcBorders>
          </w:tcPr>
          <w:p>
            <w:pPr>
              <w:spacing w:after="20"/>
            </w:pPr>
            <w:r>
              <w:rPr>
                <w:sz w:val="16"/>
              </w:rPr>
              <w:t>Read-only tenant reports never expose another tenant's policy history or payout destination.</w:t>
            </w:r>
          </w:p>
        </w:tc>
        <w:tc>
          <w:tcPr>
            <w:tcW w:type="dxa" w:w="936"/>
            <w:shd w:fill="F8FAFC"/>
            <w:tcBorders>
              <w:top w:val="single" w:sz="3" w:color="D9E2EC"/>
              <w:left w:val="single" w:sz="3" w:color="D9E2EC"/>
              <w:bottom w:val="single" w:sz="3" w:color="D9E2EC"/>
              <w:right w:val="single" w:sz="3" w:color="D9E2EC"/>
            </w:tcBorders>
          </w:tcPr>
          <w:p>
            <w:pPr>
              <w:spacing w:after="20"/>
            </w:pPr>
            <w:r>
              <w:rPr>
                <w:sz w:val="16"/>
              </w:rPr>
              <w:t>P0</w:t>
            </w:r>
          </w:p>
        </w:tc>
        <w:tc>
          <w:tcPr>
            <w:tcW w:type="dxa" w:w="2016"/>
            <w:shd w:fill="F8FAFC"/>
            <w:tcBorders>
              <w:top w:val="single" w:sz="3" w:color="D9E2EC"/>
              <w:left w:val="single" w:sz="3" w:color="D9E2EC"/>
              <w:bottom w:val="single" w:sz="3" w:color="D9E2EC"/>
              <w:right w:val="single" w:sz="3" w:color="D9E2EC"/>
            </w:tcBorders>
          </w:tcPr>
          <w:p>
            <w:pPr>
              <w:spacing w:after="20"/>
            </w:pPr>
            <w:r>
              <w:rPr>
                <w:sz w:val="16"/>
              </w:rPr>
              <w:t>Isolation test</w:t>
            </w:r>
          </w:p>
        </w:tc>
      </w:tr>
    </w:tbl>
    <w:p/>
    <w:p>
      <w:pPr>
        <w:pStyle w:val="Heading1"/>
      </w:pPr>
      <w:r>
        <w:t>Audit evidence</w:t>
      </w:r>
    </w:p>
    <w:tbl>
      <w:tblPr>
        <w:tblW w:type="auto" w:w="0"/>
        <w:tblLayout w:type="autofit"/>
        <w:tblLook w:firstColumn="1" w:firstRow="1" w:lastColumn="0" w:lastRow="0" w:noHBand="0" w:noVBand="1" w:val="04A0"/>
      </w:tblPr>
      <w:tblGrid>
        <w:gridCol w:w="5083"/>
        <w:gridCol w:w="5083"/>
      </w:tblGrid>
      <w:tr>
        <w:tc>
          <w:tcPr>
            <w:tcW w:type="dxa" w:w="5083"/>
            <w:shd w:fill="153B50"/>
            <w:tcBorders>
              <w:top w:val="single" w:sz="6" w:color="153B50"/>
              <w:left w:val="single" w:sz="4" w:color="FFFFFF"/>
              <w:bottom w:val="single" w:sz="6" w:color="153B50"/>
              <w:right w:val="single" w:sz="4" w:color="FFFFFF"/>
            </w:tcBorders>
          </w:tcPr>
          <w:p>
            <w:r>
              <w:rPr>
                <w:b/>
                <w:color w:val="FFFFFF"/>
                <w:sz w:val="17"/>
              </w:rPr>
              <w:t>Event</w:t>
            </w:r>
          </w:p>
        </w:tc>
        <w:tc>
          <w:tcPr>
            <w:tcW w:type="dxa" w:w="5083"/>
            <w:shd w:fill="153B50"/>
            <w:tcBorders>
              <w:top w:val="single" w:sz="6" w:color="153B50"/>
              <w:left w:val="single" w:sz="4" w:color="FFFFFF"/>
              <w:bottom w:val="single" w:sz="6" w:color="153B50"/>
              <w:right w:val="single" w:sz="4" w:color="FFFFFF"/>
            </w:tcBorders>
          </w:tcPr>
          <w:p>
            <w:r>
              <w:rPr>
                <w:b/>
                <w:color w:val="FFFFFF"/>
                <w:sz w:val="17"/>
              </w:rPr>
              <w:t>Required fields</w:t>
            </w:r>
          </w:p>
        </w:tc>
      </w:tr>
      <w:tr>
        <w:tc>
          <w:tcPr>
            <w:tcW w:type="dxa" w:w="2880"/>
            <w:shd w:fill="F8FAFC"/>
            <w:tcBorders>
              <w:top w:val="single" w:sz="3" w:color="D9E2EC"/>
              <w:left w:val="single" w:sz="3" w:color="D9E2EC"/>
              <w:bottom w:val="single" w:sz="3" w:color="D9E2EC"/>
              <w:right w:val="single" w:sz="3" w:color="D9E2EC"/>
            </w:tcBorders>
          </w:tcPr>
          <w:p>
            <w:pPr>
              <w:spacing w:after="20"/>
            </w:pPr>
            <w:r>
              <w:rPr>
                <w:sz w:val="16"/>
              </w:rPr>
              <w:t>Owner fallback policy version created</w:t>
            </w:r>
          </w:p>
        </w:tc>
        <w:tc>
          <w:tcPr>
            <w:tcW w:type="dxa" w:w="6768"/>
            <w:shd w:fill="F8FAFC"/>
            <w:tcBorders>
              <w:top w:val="single" w:sz="3" w:color="D9E2EC"/>
              <w:left w:val="single" w:sz="3" w:color="D9E2EC"/>
              <w:bottom w:val="single" w:sz="3" w:color="D9E2EC"/>
              <w:right w:val="single" w:sz="3" w:color="D9E2EC"/>
            </w:tcBorders>
          </w:tcPr>
          <w:p>
            <w:pPr>
              <w:spacing w:after="20"/>
            </w:pPr>
            <w:r>
              <w:rPr>
                <w:sz w:val="16"/>
              </w:rPr>
              <w:t>event name, tenant ID, policy ID, version, actor, old fallback, new fallback, effective_at, reason, request ID, timestamp.</w:t>
            </w:r>
          </w:p>
        </w:tc>
      </w:tr>
      <w:tr>
        <w:tc>
          <w:tcPr>
            <w:tcW w:type="dxa" w:w="2880"/>
            <w:tcBorders>
              <w:top w:val="single" w:sz="3" w:color="D9E2EC"/>
              <w:left w:val="single" w:sz="3" w:color="D9E2EC"/>
              <w:bottom w:val="single" w:sz="3" w:color="D9E2EC"/>
              <w:right w:val="single" w:sz="3" w:color="D9E2EC"/>
            </w:tcBorders>
          </w:tcPr>
          <w:p>
            <w:pPr>
              <w:spacing w:after="20"/>
            </w:pPr>
            <w:r>
              <w:rPr>
                <w:sz w:val="16"/>
              </w:rPr>
              <w:t>Fallback applied to payment</w:t>
            </w:r>
          </w:p>
        </w:tc>
        <w:tc>
          <w:tcPr>
            <w:tcW w:type="dxa" w:w="6768"/>
            <w:tcBorders>
              <w:top w:val="single" w:sz="3" w:color="D9E2EC"/>
              <w:left w:val="single" w:sz="3" w:color="D9E2EC"/>
              <w:bottom w:val="single" w:sz="3" w:color="D9E2EC"/>
              <w:right w:val="single" w:sz="3" w:color="D9E2EC"/>
            </w:tcBorders>
          </w:tcPr>
          <w:p>
            <w:pPr>
              <w:spacing w:after="20"/>
            </w:pPr>
            <w:r>
              <w:rPr>
                <w:sz w:val="16"/>
              </w:rPr>
              <w:t>payment/session ID, policy ID/version, normalized method, gross, rate, fixed amount, calculated fee, source=fallback, actor=webhook or posting worker.</w:t>
            </w:r>
          </w:p>
        </w:tc>
      </w:tr>
      <w:tr>
        <w:tc>
          <w:tcPr>
            <w:tcW w:type="dxa" w:w="2880"/>
            <w:shd w:fill="F8FAFC"/>
            <w:tcBorders>
              <w:top w:val="single" w:sz="3" w:color="D9E2EC"/>
              <w:left w:val="single" w:sz="3" w:color="D9E2EC"/>
              <w:bottom w:val="single" w:sz="3" w:color="D9E2EC"/>
              <w:right w:val="single" w:sz="3" w:color="D9E2EC"/>
            </w:tcBorders>
          </w:tcPr>
          <w:p>
            <w:pPr>
              <w:spacing w:after="20"/>
            </w:pPr>
            <w:r>
              <w:rPr>
                <w:sz w:val="16"/>
              </w:rPr>
              <w:t>Provider financials reconciled</w:t>
            </w:r>
          </w:p>
        </w:tc>
        <w:tc>
          <w:tcPr>
            <w:tcW w:type="dxa" w:w="6768"/>
            <w:shd w:fill="F8FAFC"/>
            <w:tcBorders>
              <w:top w:val="single" w:sz="3" w:color="D9E2EC"/>
              <w:left w:val="single" w:sz="3" w:color="D9E2EC"/>
              <w:bottom w:val="single" w:sz="3" w:color="D9E2EC"/>
              <w:right w:val="single" w:sz="3" w:color="D9E2EC"/>
            </w:tcBorders>
          </w:tcPr>
          <w:p>
            <w:pPr>
              <w:spacing w:after="20"/>
            </w:pPr>
            <w:r>
              <w:rPr>
                <w:sz w:val="16"/>
              </w:rPr>
              <w:t>transaction ID, provider payment ID, old fee, new fee, old source, new source, statement/API reference, delta, reconciled actor, timestamp.</w:t>
            </w:r>
          </w:p>
        </w:tc>
      </w:tr>
      <w:tr>
        <w:tc>
          <w:tcPr>
            <w:tcW w:type="dxa" w:w="2880"/>
            <w:tcBorders>
              <w:top w:val="single" w:sz="3" w:color="D9E2EC"/>
              <w:left w:val="single" w:sz="3" w:color="D9E2EC"/>
              <w:bottom w:val="single" w:sz="3" w:color="D9E2EC"/>
              <w:right w:val="single" w:sz="3" w:color="D9E2EC"/>
            </w:tcBorders>
          </w:tcPr>
          <w:p>
            <w:pPr>
              <w:spacing w:after="20"/>
            </w:pPr>
            <w:r>
              <w:rPr>
                <w:sz w:val="16"/>
              </w:rPr>
              <w:t>Owner edit denied</w:t>
            </w:r>
          </w:p>
        </w:tc>
        <w:tc>
          <w:tcPr>
            <w:tcW w:type="dxa" w:w="6768"/>
            <w:tcBorders>
              <w:top w:val="single" w:sz="3" w:color="D9E2EC"/>
              <w:left w:val="single" w:sz="3" w:color="D9E2EC"/>
              <w:bottom w:val="single" w:sz="3" w:color="D9E2EC"/>
              <w:right w:val="single" w:sz="3" w:color="D9E2EC"/>
            </w:tcBorders>
          </w:tcPr>
          <w:p>
            <w:pPr>
              <w:spacing w:after="20"/>
            </w:pPr>
            <w:r>
              <w:rPr>
                <w:sz w:val="16"/>
              </w:rPr>
              <w:t>tenant, actor, capability decision, route, reason code, request ID; never record secrets or raw request body.</w:t>
            </w:r>
          </w:p>
        </w:tc>
      </w:tr>
    </w:tbl>
    <w:p/>
    <w:p>
      <w:pPr>
        <w:pStyle w:val="Heading1"/>
      </w:pPr>
      <w:r>
        <w:t>Historical data contract</w:t>
      </w:r>
    </w:p>
    <w:p>
      <w:pPr>
        <w:pStyle w:val="ListBullet"/>
      </w:pPr>
      <w:r>
        <w:t>Changing the current fallback policy never changes a historical transaction amount, policy version, fee source, settlement batch, or receipt.</w:t>
      </w:r>
    </w:p>
    <w:p>
      <w:pPr>
        <w:pStyle w:val="ListBullet"/>
      </w:pPr>
      <w:r>
        <w:t>A transaction that used a fallback remains labeled fallback even after the current policy changes.</w:t>
      </w:r>
    </w:p>
    <w:p>
      <w:pPr>
        <w:pStyle w:val="ListBullet"/>
      </w:pPr>
      <w:r>
        <w:t>When a provider statement later corrects a fallback, preserve the original snapshot and add immutable reconciliation evidence; the report may display the reconciled current amount while retaining the original estimate in audit detail.</w:t>
      </w:r>
    </w:p>
    <w:p>
      <w:pPr>
        <w:pStyle w:val="ListBullet"/>
      </w:pPr>
      <w:r>
        <w:t>No historical service_fee_amount, delivery_fee, restaurant service charge, POS split tender, or cash row is migrated or recomputed.</w:t>
      </w:r>
    </w:p>
    <w:p>
      <w:pPr>
        <w:pStyle w:val="ListBullet"/>
      </w:pPr>
      <w:r>
        <w:t>Policy history retains old versions and their end dates for owner and finance audit.</w:t>
      </w:r>
    </w:p>
    <w:p>
      <w:pPr>
        <w:pStyle w:val="Heading1"/>
      </w:pPr>
      <w:r>
        <w:t>Additional issue discovered</w:t>
      </w:r>
    </w:p>
    <w:tbl>
      <w:tblPr>
        <w:tblW w:type="auto" w:w="0"/>
        <w:tblLook w:firstColumn="1" w:firstRow="1" w:lastColumn="0" w:lastRow="0" w:noHBand="0" w:noVBand="1" w:val="04A0"/>
      </w:tblPr>
      <w:tblGrid>
        <w:gridCol w:w="10166"/>
      </w:tblGrid>
      <w:tr>
        <w:tc>
          <w:tcPr>
            <w:tcW w:type="dxa" w:w="10166"/>
            <w:shd w:fill="FDECEC"/>
            <w:tcBorders>
              <w:top w:val="single" w:sz="6" w:color="D9B44A"/>
              <w:left w:val="single" w:sz="12" w:color="0F766E"/>
              <w:bottom w:val="single" w:sz="6" w:color="D9B44A"/>
              <w:right w:val="single" w:sz="6" w:color="D9B44A"/>
            </w:tcBorders>
          </w:tcPr>
          <w:p>
            <w:r>
              <w:rPr>
                <w:b/>
                <w:color w:val="153B50"/>
              </w:rPr>
              <w:t xml:space="preserve">Required with this change  </w:t>
            </w:r>
            <w:r>
              <w:t>OPIS currently displays a Business amount metric whose detail says Before payment processing fees, while the value is calculated from collected amount minus platform fee and refunds. This is not necessarily mathematically wrong, but it is easy for an Owner to mistake it for the final amount due. The feature must add a separate provider-fee metric and rename or clarify the existing metric so its formula is explicit.</w:t>
            </w:r>
          </w:p>
        </w:tc>
      </w:tr>
    </w:tbl>
    <w:p/>
    <w:p>
      <w:pPr>
        <w:pStyle w:val="Heading1"/>
      </w:pPr>
      <w:r>
        <w:t>Report acceptance</w:t>
      </w:r>
    </w:p>
    <w:p>
      <w:pPr>
        <w:pStyle w:val="ListBullet"/>
      </w:pPr>
      <w:r>
        <w:t>A report reviewer can explain one payment's amount due from the displayed gross, provider fee, platform fee, refunds, and source without opening database records.</w:t>
      </w:r>
    </w:p>
    <w:p>
      <w:pPr>
        <w:pStyle w:val="ListBullet"/>
      </w:pPr>
      <w:r>
        <w:t>A fallback payment is visibly estimated and is not counted as final provider evidence.</w:t>
      </w:r>
    </w:p>
    <w:p>
      <w:pPr>
        <w:pStyle w:val="ListBullet"/>
      </w:pPr>
      <w:r>
        <w:t>Actual provider data and a later reconciliation show the corrected amount and an auditable delta.</w:t>
      </w:r>
    </w:p>
    <w:p>
      <w:pPr>
        <w:pStyle w:val="ListBullet"/>
      </w:pPr>
      <w:r>
        <w:t>The report remains read-only for tenant users; only the policy form has the approved mutation capability.</w:t>
      </w:r>
    </w:p>
    <w:p>
      <w:pPr>
        <w:pStyle w:val="Heading2"/>
      </w:pPr>
      <w:r>
        <w:t>Repository evidence</w:t>
      </w:r>
    </w:p>
    <w:p>
      <w:pPr>
        <w:pStyle w:val="ListBullet"/>
      </w:pPr>
      <w:r>
        <w:rPr>
          <w:rFonts w:ascii="Consolas" w:hAnsi="Consolas"/>
          <w:sz w:val="17"/>
        </w:rPr>
        <w:t>packages/web-core/src/features/reports/TenantRevenueReadOnlyPanel.jsx</w:t>
      </w:r>
    </w:p>
    <w:p>
      <w:pPr>
        <w:pStyle w:val="ListBullet"/>
      </w:pPr>
      <w:r>
        <w:rPr>
          <w:rFonts w:ascii="Consolas" w:hAnsi="Consolas"/>
          <w:sz w:val="17"/>
        </w:rPr>
        <w:t>packages/web-core/src/services/tenantRevenueService.js</w:t>
      </w:r>
    </w:p>
    <w:p>
      <w:pPr>
        <w:pStyle w:val="ListBullet"/>
      </w:pPr>
      <w:r>
        <w:rPr>
          <w:rFonts w:ascii="Consolas" w:hAnsi="Consolas"/>
          <w:sz w:val="17"/>
        </w:rPr>
        <w:t>apps/dgfy-opis/src/features/businessAdmin/BusinessAdminPage.jsx</w:t>
      </w:r>
    </w:p>
    <w:p>
      <w:pPr>
        <w:pStyle w:val="ListBullet"/>
      </w:pPr>
      <w:r>
        <w:rPr>
          <w:rFonts w:ascii="Consolas" w:hAnsi="Consolas"/>
          <w:sz w:val="17"/>
        </w:rPr>
        <w:t>apps/dgfy-api/src/modules/tenantRevenue/usecases/tenantRevenueUseCases.js</w:t>
      </w:r>
    </w:p>
    <w:p>
      <w:pPr>
        <w:pStyle w:val="ListBullet"/>
      </w:pPr>
      <w:r>
        <w:rPr>
          <w:rFonts w:ascii="Consolas" w:hAnsi="Consolas"/>
          <w:sz w:val="17"/>
        </w:rPr>
        <w:t>apps/dgfy-api/src/modules/businessAdmin/usecases/businessAdminCommerceMonitoringUseCase.js</w:t>
      </w:r>
    </w:p>
    <w:sectPr w:rsidR="00FC693F" w:rsidRPr="0006063C" w:rsidSect="00034616">
      <w:headerReference w:type="default" r:id="rId9"/>
      <w:footerReference w:type="default" r:id="rId10"/>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color w:val="52606D"/>
        <w:sz w:val="16"/>
      </w:rPr>
      <w:t>Plan version 1.0  |  2026-10-06  |  Local planning artifact</w:t>
    </w:r>
    <w:r>
      <w:t xml:space="preserve">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2606D"/>
        <w:sz w:val="16"/>
      </w:rPr>
      <w:t>DGFY POS-DGFY  |  Configurable Payment Processing Fee  |  Section 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53B50"/>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F766E"/>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rial" w:hAnsi="Arial"/>
      <w:b/>
      <w:color w:val="153B5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