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Configurable Payment Processing Fee</w:t>
      </w:r>
    </w:p>
    <w:p>
      <w:pPr>
        <w:spacing w:after="160"/>
      </w:pPr>
      <w:r>
        <w:rPr>
          <w:b/>
          <w:color w:val="0F766E"/>
          <w:sz w:val="22"/>
        </w:rPr>
        <w:t>Testing Security and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POS-DGFY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Plan version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07  Testing Security and Verification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Map requirements to local tests and evidence that prove calculation correctness, authorization, tenant isolation, UI behavior, and no customer-fee regression.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Dependencies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Sections 02 through 06; local test toolchains; architecture checks; no staging or production tests.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Implementation status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Planning only. No application code is changed by this plan.</w:t>
            </w:r>
          </w:p>
        </w:tc>
      </w:tr>
    </w:tbl>
    <w:p/>
    <w:p>
      <w:pPr>
        <w:pStyle w:val="Heading1"/>
      </w:pPr>
      <w:r>
        <w:t>Verification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Test or evidence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0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FR-001 to FR-003</w:t>
            </w:r>
          </w:p>
        </w:tc>
        <w:tc>
          <w:tcPr>
            <w:tcW w:type="dxa" w:w="44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revenue API contract tests and OPIS component tests.</w:t>
            </w:r>
          </w:p>
        </w:tc>
        <w:tc>
          <w:tcPr>
            <w:tcW w:type="dxa" w:w="309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sees policy and source-aware fee DTO; unauthenticated or wrong tenant cannot.</w:t>
            </w:r>
          </w:p>
        </w:tc>
      </w:tr>
      <w:tr>
        <w:tc>
          <w:tcPr>
            <w:tcW w:type="dxa" w:w="20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FR-005 and BR-001 to BR-003</w:t>
            </w:r>
          </w:p>
        </w:tc>
        <w:tc>
          <w:tcPr>
            <w:tcW w:type="dxa" w:w="44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revenue calculation unit tests.</w:t>
            </w:r>
          </w:p>
        </w:tc>
        <w:tc>
          <w:tcPr>
            <w:tcW w:type="dxa" w:w="309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Actual/reconciled data wins; fallback uses normalized method and integer-centavo formula.</w:t>
            </w:r>
          </w:p>
        </w:tc>
      </w:tr>
      <w:tr>
        <w:tc>
          <w:tcPr>
            <w:tcW w:type="dxa" w:w="20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BR-004 and BR-012</w:t>
            </w:r>
          </w:p>
        </w:tc>
        <w:tc>
          <w:tcPr>
            <w:tcW w:type="dxa" w:w="44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Policy version integration test.</w:t>
            </w:r>
          </w:p>
        </w:tc>
        <w:tc>
          <w:tcPr>
            <w:tcW w:type="dxa" w:w="309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New version affects future payment only; old transaction and audit snapshot remain unchanged.</w:t>
            </w:r>
          </w:p>
        </w:tc>
      </w:tr>
      <w:tr>
        <w:tc>
          <w:tcPr>
            <w:tcW w:type="dxa" w:w="20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BR-005 and PERM-004</w:t>
            </w:r>
          </w:p>
        </w:tc>
        <w:tc>
          <w:tcPr>
            <w:tcW w:type="dxa" w:w="44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Mass-assignment and privilege-escalation API tests.</w:t>
            </w:r>
          </w:p>
        </w:tc>
        <w:tc>
          <w:tcPr>
            <w:tcW w:type="dxa" w:w="309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cannot change platform rate, payer, settlement, payout, or automatic-payout fields.</w:t>
            </w:r>
          </w:p>
        </w:tc>
      </w:tr>
      <w:tr>
        <w:tc>
          <w:tcPr>
            <w:tcW w:type="dxa" w:w="20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BR-006 and BR-007</w:t>
            </w:r>
          </w:p>
        </w:tc>
        <w:tc>
          <w:tcPr>
            <w:tcW w:type="dxa" w:w="44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POS/Storefront fee regression contract tests.</w:t>
            </w:r>
          </w:p>
        </w:tc>
        <w:tc>
          <w:tcPr>
            <w:tcW w:type="dxa" w:w="309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Customer totals, POS cashier, delivery, service charge, and walk-in flows remain unchanged.</w:t>
            </w:r>
          </w:p>
        </w:tc>
      </w:tr>
      <w:tr>
        <w:tc>
          <w:tcPr>
            <w:tcW w:type="dxa" w:w="20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BR-009</w:t>
            </w:r>
          </w:p>
        </w:tc>
        <w:tc>
          <w:tcPr>
            <w:tcW w:type="dxa" w:w="44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Fallback reconciliation and settlement eligibility test.</w:t>
            </w:r>
          </w:p>
        </w:tc>
        <w:tc>
          <w:tcPr>
            <w:tcW w:type="dxa" w:w="309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Estimated fee cannot silently be treated as final; later actual data posts a controlled delta.</w:t>
            </w:r>
          </w:p>
        </w:tc>
      </w:tr>
      <w:tr>
        <w:tc>
          <w:tcPr>
            <w:tcW w:type="dxa" w:w="20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PERM-001 and REP-007</w:t>
            </w:r>
          </w:p>
        </w:tc>
        <w:tc>
          <w:tcPr>
            <w:tcW w:type="dxa" w:w="44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Cross-tenant API tests with manipulated tenant and policy identifiers.</w:t>
            </w:r>
          </w:p>
        </w:tc>
        <w:tc>
          <w:tcPr>
            <w:tcW w:type="dxa" w:w="309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Only authenticated tenant records are returned or changed.</w:t>
            </w:r>
          </w:p>
        </w:tc>
      </w:tr>
      <w:tr>
        <w:tc>
          <w:tcPr>
            <w:tcW w:type="dxa" w:w="20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FR-008 and NFR-003</w:t>
            </w:r>
          </w:p>
        </w:tc>
        <w:tc>
          <w:tcPr>
            <w:tcW w:type="dxa" w:w="44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Concurrent save or stale expected version test.</w:t>
            </w:r>
          </w:p>
        </w:tc>
        <w:tc>
          <w:tcPr>
            <w:tcW w:type="dxa" w:w="309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Exactly one version succeeds; stale writer gets 409 and no partial audit.</w:t>
            </w:r>
          </w:p>
        </w:tc>
      </w:tr>
      <w:tr>
        <w:tc>
          <w:tcPr>
            <w:tcW w:type="dxa" w:w="20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FR-009 and UI requirements</w:t>
            </w:r>
          </w:p>
        </w:tc>
        <w:tc>
          <w:tcPr>
            <w:tcW w:type="dxa" w:w="44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Local OPIS Playwright or browser test at desktop and narrow viewport.</w:t>
            </w:r>
          </w:p>
        </w:tc>
        <w:tc>
          <w:tcPr>
            <w:tcW w:type="dxa" w:w="309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Configuration works without shift; responsive source labels and error states are usable.</w:t>
            </w:r>
          </w:p>
        </w:tc>
      </w:tr>
      <w:tr>
        <w:tc>
          <w:tcPr>
            <w:tcW w:type="dxa" w:w="20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REP-003 to REP-006</w:t>
            </w:r>
          </w:p>
        </w:tc>
        <w:tc>
          <w:tcPr>
            <w:tcW w:type="dxa" w:w="44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Summary and CSV contract tests.</w:t>
            </w:r>
          </w:p>
        </w:tc>
        <w:tc>
          <w:tcPr>
            <w:tcW w:type="dxa" w:w="309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Aggregates match rows and source categories are distinct.</w:t>
            </w:r>
          </w:p>
        </w:tc>
      </w:tr>
    </w:tbl>
    <w:p/>
    <w:p>
      <w:pPr>
        <w:pStyle w:val="Heading1"/>
      </w:pPr>
      <w:r>
        <w:t>Backend test plan</w:t>
      </w:r>
    </w:p>
    <w:p>
      <w:pPr>
        <w:pStyle w:val="ListBullet"/>
      </w:pPr>
      <w:r>
        <w:t>Unit: payment method normalization, alias rejection, basis-point rounding, fixed fee addition, bounds, null behavior, and source labels.</w:t>
      </w:r>
    </w:p>
    <w:p>
      <w:pPr>
        <w:pStyle w:val="ListBullet"/>
      </w:pPr>
      <w:r>
        <w:t>Unit: Owner fallback-only policy projection preserves all platform-controlled values.</w:t>
      </w:r>
    </w:p>
    <w:p>
      <w:pPr>
        <w:pStyle w:val="ListBullet"/>
      </w:pPr>
      <w:r>
        <w:t>Integration: policy version transaction locks latest row, closes prior version, creates audit, and rolls back on audit failure.</w:t>
      </w:r>
    </w:p>
    <w:p>
      <w:pPr>
        <w:pStyle w:val="ListBullet"/>
      </w:pPr>
      <w:r>
        <w:t>Integration: tenant revenue posting snapshots policy and provider source; actual provider fee overrides fallback.</w:t>
      </w:r>
    </w:p>
    <w:p>
      <w:pPr>
        <w:pStyle w:val="ListBullet"/>
      </w:pPr>
      <w:r>
        <w:t>Integration: fallback transaction remains on the approved non-final reconciliation path and cannot enter an eligible batch prematurely.</w:t>
      </w:r>
    </w:p>
    <w:p>
      <w:pPr>
        <w:pStyle w:val="ListBullet"/>
      </w:pPr>
      <w:r>
        <w:t>Integration: statement/API reconciliation replaces fallback with actual and creates the correct immutable delta entries.</w:t>
      </w:r>
    </w:p>
    <w:p>
      <w:pPr>
        <w:pStyle w:val="ListBullet"/>
      </w:pPr>
      <w:r>
        <w:t>Transport: route middleware, validation status, no-store header, rate limiter, CSRF/session behavior, and error response shape.</w:t>
      </w:r>
    </w:p>
    <w:p>
      <w:pPr>
        <w:pStyle w:val="Heading1"/>
      </w:pPr>
      <w:r>
        <w:t>Frontend test plan</w:t>
      </w:r>
    </w:p>
    <w:p>
      <w:pPr>
        <w:pStyle w:val="ListBullet"/>
      </w:pPr>
      <w:r>
        <w:t>OPIS contract: the settings form uses the tenant fee-history endpoint and the fallback-only mutation endpoint; it does not call admin routes.</w:t>
      </w:r>
    </w:p>
    <w:p>
      <w:pPr>
        <w:pStyle w:val="ListBullet"/>
      </w:pPr>
      <w:r>
        <w:t>OPIS behavior: loading, no policy, no payments, forbidden, validation error, stale version, successful save, and retry states.</w:t>
      </w:r>
    </w:p>
    <w:p>
      <w:pPr>
        <w:pStyle w:val="ListBullet"/>
      </w:pPr>
      <w:r>
        <w:t>OPIS behavior: summary cards and payment rows distinguish actual, reconciled, fallback estimate, and manual review.</w:t>
      </w:r>
    </w:p>
    <w:p>
      <w:pPr>
        <w:pStyle w:val="ListBullet"/>
      </w:pPr>
      <w:r>
        <w:t>OPIS responsive evidence: desktop-sized Owner view and narrow screen view preserve labels, inputs, source badges, and table/card readability.</w:t>
      </w:r>
    </w:p>
    <w:p>
      <w:pPr>
        <w:pStyle w:val="ListBullet"/>
      </w:pPr>
      <w:r>
        <w:t>Regression: customer checkout totals, POS terminal totals, receipt fee rows, delivery pricing, restaurant service charge, and IMS remain outside the change set.</w:t>
      </w:r>
    </w:p>
    <w:p>
      <w:pPr>
        <w:pStyle w:val="Heading1"/>
      </w:pPr>
      <w:r>
        <w:t>Security review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Threat</w:t>
            </w:r>
          </w:p>
        </w:tc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Control and proof</w:t>
            </w:r>
          </w:p>
        </w:tc>
      </w:tr>
      <w:tr>
        <w:tc>
          <w:tcPr>
            <w:tcW w:type="dxa" w:w="259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Cross-tenant read or write</w:t>
            </w:r>
          </w:p>
        </w:tc>
        <w:tc>
          <w:tcPr>
            <w:tcW w:type="dxa" w:w="70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Derive tenant from server session; ignore posted tenant ID; use repository where clauses and adversarial tests.</w:t>
            </w:r>
          </w:p>
        </w:tc>
      </w:tr>
      <w:tr>
        <w:tc>
          <w:tcPr>
            <w:tcW w:type="dxa" w:w="259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Privilege escalation through generic settings</w:t>
            </w:r>
          </w:p>
        </w:tc>
        <w:tc>
          <w:tcPr>
            <w:tcW w:type="dxa" w:w="70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Dedicated capability and allowlisted endpoint; no Business Admin discovery-only grant.</w:t>
            </w:r>
          </w:p>
        </w:tc>
      </w:tr>
      <w:tr>
        <w:tc>
          <w:tcPr>
            <w:tcW w:type="dxa" w:w="259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Mass assignment</w:t>
            </w:r>
          </w:p>
        </w:tc>
        <w:tc>
          <w:tcPr>
            <w:tcW w:type="dxa" w:w="70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Validated DTO and explicit policy projection; reject platform fields.</w:t>
            </w:r>
          </w:p>
        </w:tc>
      </w:tr>
      <w:tr>
        <w:tc>
          <w:tcPr>
            <w:tcW w:type="dxa" w:w="259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Financial spoofing</w:t>
            </w:r>
          </w:p>
        </w:tc>
        <w:tc>
          <w:tcPr>
            <w:tcW w:type="dxa" w:w="70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Do not trust frontend totals, rate display, source, or method; calculate and snapshot server-side.</w:t>
            </w:r>
          </w:p>
        </w:tc>
      </w:tr>
      <w:tr>
        <w:tc>
          <w:tcPr>
            <w:tcW w:type="dxa" w:w="259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Sensitive financial leakage</w:t>
            </w:r>
          </w:p>
        </w:tc>
        <w:tc>
          <w:tcPr>
            <w:tcW w:type="dxa" w:w="70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Mask payout data; no raw provider payloads, credentials, or secrets in responses/logs.</w:t>
            </w:r>
          </w:p>
        </w:tc>
      </w:tr>
      <w:tr>
        <w:tc>
          <w:tcPr>
            <w:tcW w:type="dxa" w:w="259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Replay or duplicate save</w:t>
            </w:r>
          </w:p>
        </w:tc>
        <w:tc>
          <w:tcPr>
            <w:tcW w:type="dxa" w:w="70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Expected version, row lock, effective-date uniqueness checks, audit idempotency, and safe retry behavior.</w:t>
            </w:r>
          </w:p>
        </w:tc>
      </w:tr>
      <w:tr>
        <w:tc>
          <w:tcPr>
            <w:tcW w:type="dxa" w:w="259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CSRF/session abuse</w:t>
            </w:r>
          </w:p>
        </w:tc>
        <w:tc>
          <w:tcPr>
            <w:tcW w:type="dxa" w:w="70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Reuse authenticated tenant route protections and verify revoked/expired session behavior.</w:t>
            </w:r>
          </w:p>
        </w:tc>
      </w:tr>
      <w:tr>
        <w:tc>
          <w:tcPr>
            <w:tcW w:type="dxa" w:w="259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Incorrect estimate treated as actual</w:t>
            </w:r>
          </w:p>
        </w:tc>
        <w:tc>
          <w:tcPr>
            <w:tcW w:type="dxa" w:w="70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Source field, estimate indicator, reconciliation hold, and settlement eligibility test.</w:t>
            </w:r>
          </w:p>
        </w:tc>
      </w:tr>
    </w:tbl>
    <w:p/>
    <w:p>
      <w:pPr>
        <w:pStyle w:val="Heading1"/>
      </w:pPr>
      <w:r>
        <w:t>Required local checks</w:t>
      </w:r>
    </w:p>
    <w:p>
      <w:pPr>
        <w:pStyle w:val="ListBullet"/>
      </w:pPr>
      <w:r>
        <w:t>npm run check:architecture</w:t>
      </w:r>
    </w:p>
    <w:p>
      <w:pPr>
        <w:pStyle w:val="ListBullet"/>
      </w:pPr>
      <w:r>
        <w:t>Focused dgfy-api tenant revenue and business admin tests</w:t>
      </w:r>
    </w:p>
    <w:p>
      <w:pPr>
        <w:pStyle w:val="ListBullet"/>
      </w:pPr>
      <w:r>
        <w:t>Focused OPIS frontend tests and OPIS production build</w:t>
      </w:r>
    </w:p>
    <w:p>
      <w:pPr>
        <w:pStyle w:val="ListBullet"/>
      </w:pPr>
      <w:r>
        <w:t>Relevant web-core report contract tests if shared report code is touched</w:t>
      </w:r>
    </w:p>
    <w:p>
      <w:pPr>
        <w:pStyle w:val="ListBullet"/>
      </w:pPr>
      <w:r>
        <w:t>npm run check:compliance and required impact-declaration validation for financial policy change</w:t>
      </w:r>
    </w:p>
    <w:p>
      <w:pPr>
        <w:pStyle w:val="ListBullet"/>
      </w:pPr>
      <w:r>
        <w:t>npm run lint:docs and ADR checks after documentation updates</w:t>
      </w:r>
    </w:p>
    <w:p>
      <w:pPr>
        <w:pStyle w:val="ListBullet"/>
      </w:pPr>
      <w:r>
        <w:t>git diff --check and changed-file scan for DO NOT COMMIT markers</w:t>
      </w:r>
    </w:p>
    <w:p>
      <w:pPr>
        <w:pStyle w:val="Heading1"/>
      </w:pPr>
      <w:r>
        <w:t>Evidence package</w:t>
      </w:r>
    </w:p>
    <w:p>
      <w:pPr>
        <w:pStyle w:val="ListBullet"/>
      </w:pPr>
      <w:r>
        <w:t>Test command output with commit SHA and test counts.</w:t>
      </w:r>
    </w:p>
    <w:p>
      <w:pPr>
        <w:pStyle w:val="ListBullet"/>
      </w:pPr>
      <w:r>
        <w:t>API request and response fixtures for actual, fallback, missing, reconciled, unauthorized, cross-tenant, and stale-version cases.</w:t>
      </w:r>
    </w:p>
    <w:p>
      <w:pPr>
        <w:pStyle w:val="ListBullet"/>
      </w:pPr>
      <w:r>
        <w:t>Desktop and narrow OPIS screenshots or trace evidence for configuration and report visibility.</w:t>
      </w:r>
    </w:p>
    <w:p>
      <w:pPr>
        <w:pStyle w:val="ListBullet"/>
      </w:pPr>
      <w:r>
        <w:t>Audit record examples with sensitive fields removed.</w:t>
      </w:r>
    </w:p>
    <w:p>
      <w:pPr>
        <w:pStyle w:val="ListBullet"/>
      </w:pPr>
      <w:r>
        <w:t>A before and after financial calculation table showing historical policy preservation.</w:t>
      </w:r>
    </w:p>
    <w:p>
      <w:pPr>
        <w:pStyle w:val="ListBullet"/>
      </w:pPr>
      <w:r>
        <w:t>Architecture, compliance, documentation, and build results. Evidence is local only for this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1"/>
            <w:tcBorders>
              <w:top w:val="single" w:sz="6" w:color="D9B44A"/>
              <w:left w:val="single" w:sz="12" w:color="0F766E"/>
              <w:bottom w:val="single" w:sz="6" w:color="D9B44A"/>
              <w:right w:val="single" w:sz="6" w:color="D9B44A"/>
            </w:tcBorders>
          </w:tcPr>
          <w:p>
            <w:r>
              <w:rPr>
                <w:b/>
                <w:color w:val="153B50"/>
              </w:rPr>
              <w:t xml:space="preserve">No staging  </w:t>
            </w:r>
            <w:r>
              <w:t>This plan intentionally removes staging and production verification from the implementation phase. A later release owner must create a separate promotion and deployed-verification plan after local evidence and financial approval are complete.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2606D"/>
        <w:sz w:val="16"/>
      </w:rPr>
      <w:t>Plan version 1.0  |  2026-10-06  |  Local planning artifact</w:t>
    </w:r>
    <w:r>
      <w:t xml:space="preserve">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06D"/>
        <w:sz w:val="16"/>
      </w:rPr>
      <w:t>DGFY POS-DGFY  |  Configurable Payment Processing Fee  |  Section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53B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B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