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Configurable Payment Processing Fee</w:t>
      </w:r>
    </w:p>
    <w:p>
      <w:pPr>
        <w:spacing w:after="160"/>
      </w:pPr>
      <w:r>
        <w:rPr>
          <w:b/>
          <w:color w:val="0F766E"/>
          <w:sz w:val="22"/>
        </w:rPr>
        <w:t>Implementation Phases and Dependencies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EAF2F8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pPr>
              <w:spacing w:after="40"/>
            </w:pPr>
            <w:r>
              <w:rPr>
                <w:b/>
                <w:sz w:val="17"/>
              </w:rPr>
              <w:t>Project name</w:t>
            </w:r>
          </w:p>
        </w:tc>
        <w:tc>
          <w:tcPr>
            <w:tcW w:type="dxa" w:w="5083"/>
            <w:shd w:fill="FFFFFF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pPr>
              <w:spacing w:after="40"/>
            </w:pPr>
            <w:r>
              <w:rPr>
                <w:sz w:val="17"/>
              </w:rPr>
              <w:t>POS-DGFY</w:t>
            </w:r>
          </w:p>
        </w:tc>
      </w:tr>
      <w:tr>
        <w:tc>
          <w:tcPr>
            <w:tcW w:type="dxa" w:w="5083"/>
            <w:shd w:fill="EAF2F8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pPr>
              <w:spacing w:after="40"/>
            </w:pPr>
            <w:r>
              <w:rPr>
                <w:b/>
                <w:sz w:val="17"/>
              </w:rPr>
              <w:t>Plan version</w:t>
            </w:r>
          </w:p>
        </w:tc>
        <w:tc>
          <w:tcPr>
            <w:tcW w:type="dxa" w:w="5083"/>
            <w:shd w:fill="FFFFFF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pPr>
              <w:spacing w:after="40"/>
            </w:pPr>
            <w:r>
              <w:rPr>
                <w:sz w:val="17"/>
              </w:rPr>
              <w:t>1.0</w:t>
            </w:r>
          </w:p>
        </w:tc>
      </w:tr>
      <w:tr>
        <w:tc>
          <w:tcPr>
            <w:tcW w:type="dxa" w:w="5083"/>
            <w:shd w:fill="EAF2F8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pPr>
              <w:spacing w:after="40"/>
            </w:pPr>
            <w:r>
              <w:rPr>
                <w:b/>
                <w:sz w:val="17"/>
              </w:rPr>
              <w:t>Section</w:t>
            </w:r>
          </w:p>
        </w:tc>
        <w:tc>
          <w:tcPr>
            <w:tcW w:type="dxa" w:w="5083"/>
            <w:shd w:fill="FFFFFF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pPr>
              <w:spacing w:after="40"/>
            </w:pPr>
            <w:r>
              <w:rPr>
                <w:sz w:val="17"/>
              </w:rPr>
              <w:t>08  Implementation Phases and Dependencies</w:t>
            </w:r>
          </w:p>
        </w:tc>
      </w:tr>
      <w:tr>
        <w:tc>
          <w:tcPr>
            <w:tcW w:type="dxa" w:w="5083"/>
            <w:shd w:fill="EAF2F8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pPr>
              <w:spacing w:after="40"/>
            </w:pPr>
            <w:r>
              <w:rPr>
                <w:b/>
                <w:sz w:val="17"/>
              </w:rPr>
              <w:t>Purpose</w:t>
            </w:r>
          </w:p>
        </w:tc>
        <w:tc>
          <w:tcPr>
            <w:tcW w:type="dxa" w:w="5083"/>
            <w:shd w:fill="FFFFFF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pPr>
              <w:spacing w:after="40"/>
            </w:pPr>
            <w:r>
              <w:rPr>
                <w:sz w:val="17"/>
              </w:rPr>
              <w:t>Convert the design into an execution-ready Phase 474 sequence with dependencies, risks, tests, and exit criteria.</w:t>
            </w:r>
          </w:p>
        </w:tc>
      </w:tr>
      <w:tr>
        <w:tc>
          <w:tcPr>
            <w:tcW w:type="dxa" w:w="5083"/>
            <w:shd w:fill="EAF2F8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pPr>
              <w:spacing w:after="40"/>
            </w:pPr>
            <w:r>
              <w:rPr>
                <w:b/>
                <w:sz w:val="17"/>
              </w:rPr>
              <w:t>Dependencies</w:t>
            </w:r>
          </w:p>
        </w:tc>
        <w:tc>
          <w:tcPr>
            <w:tcW w:type="dxa" w:w="5083"/>
            <w:shd w:fill="FFFFFF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pPr>
              <w:spacing w:after="40"/>
            </w:pPr>
            <w:r>
              <w:rPr>
                <w:sz w:val="17"/>
              </w:rPr>
              <w:t>Current ledger: Phase 473 in progress and Phase 474 next eligible; Sections 02 through 07; ADR amendment approval.</w:t>
            </w:r>
          </w:p>
        </w:tc>
      </w:tr>
      <w:tr>
        <w:tc>
          <w:tcPr>
            <w:tcW w:type="dxa" w:w="5083"/>
            <w:shd w:fill="EAF2F8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pPr>
              <w:spacing w:after="40"/>
            </w:pPr>
            <w:r>
              <w:rPr>
                <w:b/>
                <w:sz w:val="17"/>
              </w:rPr>
              <w:t>Implementation status</w:t>
            </w:r>
          </w:p>
        </w:tc>
        <w:tc>
          <w:tcPr>
            <w:tcW w:type="dxa" w:w="5083"/>
            <w:shd w:fill="FFFFFF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pPr>
              <w:spacing w:after="40"/>
            </w:pPr>
            <w:r>
              <w:rPr>
                <w:sz w:val="17"/>
              </w:rPr>
              <w:t>Planning only. No application code is changed by this plan.</w:t>
            </w:r>
          </w:p>
        </w:tc>
      </w:tr>
    </w:tbl>
    <w:p/>
    <w:p>
      <w:pPr>
        <w:pStyle w:val="Heading1"/>
      </w:pPr>
      <w:r>
        <w:t>Continuous phase position</w:t>
      </w:r>
    </w:p>
    <w:p>
      <w:r>
        <w:t>The authoritative ledger ends with Phase 473. Its next eligible phase is Phase 474, subject to Phase 473 acceptance gates and a ledger recheck. This plan reserves Phase 474 for the configurable payment processing fee capability and does not renumber or mark any existing phase.</w:t>
      </w:r>
    </w:p>
    <w:p>
      <w:pPr>
        <w:pStyle w:val="Heading1"/>
      </w:pPr>
      <w:r>
        <w:t>Phase 474 workstreams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  <w:shd w:fill="153B50"/>
            <w:tcBorders>
              <w:top w:val="single" w:sz="6" w:color="153B50"/>
              <w:left w:val="single" w:sz="4" w:color="FFFFFF"/>
              <w:bottom w:val="single" w:sz="6" w:color="153B50"/>
              <w:right w:val="single" w:sz="4" w:color="FFFFFF"/>
            </w:tcBorders>
          </w:tcPr>
          <w:p>
            <w:r>
              <w:rPr>
                <w:b/>
                <w:color w:val="FFFFFF"/>
                <w:sz w:val="17"/>
              </w:rPr>
              <w:t>Workstream</w:t>
            </w:r>
          </w:p>
        </w:tc>
        <w:tc>
          <w:tcPr>
            <w:tcW w:type="dxa" w:w="2541"/>
            <w:shd w:fill="153B50"/>
            <w:tcBorders>
              <w:top w:val="single" w:sz="6" w:color="153B50"/>
              <w:left w:val="single" w:sz="4" w:color="FFFFFF"/>
              <w:bottom w:val="single" w:sz="6" w:color="153B50"/>
              <w:right w:val="single" w:sz="4" w:color="FFFFFF"/>
            </w:tcBorders>
          </w:tcPr>
          <w:p>
            <w:r>
              <w:rPr>
                <w:b/>
                <w:color w:val="FFFFFF"/>
                <w:sz w:val="17"/>
              </w:rPr>
              <w:t>Objective and exact changes</w:t>
            </w:r>
          </w:p>
        </w:tc>
        <w:tc>
          <w:tcPr>
            <w:tcW w:type="dxa" w:w="2541"/>
            <w:shd w:fill="153B50"/>
            <w:tcBorders>
              <w:top w:val="single" w:sz="6" w:color="153B50"/>
              <w:left w:val="single" w:sz="4" w:color="FFFFFF"/>
              <w:bottom w:val="single" w:sz="6" w:color="153B50"/>
              <w:right w:val="single" w:sz="4" w:color="FFFFFF"/>
            </w:tcBorders>
          </w:tcPr>
          <w:p>
            <w:r>
              <w:rPr>
                <w:b/>
                <w:color w:val="FFFFFF"/>
                <w:sz w:val="17"/>
              </w:rPr>
              <w:t>Dependencies</w:t>
            </w:r>
          </w:p>
        </w:tc>
        <w:tc>
          <w:tcPr>
            <w:tcW w:type="dxa" w:w="2541"/>
            <w:shd w:fill="153B50"/>
            <w:tcBorders>
              <w:top w:val="single" w:sz="6" w:color="153B50"/>
              <w:left w:val="single" w:sz="4" w:color="FFFFFF"/>
              <w:bottom w:val="single" w:sz="6" w:color="153B50"/>
              <w:right w:val="single" w:sz="4" w:color="FFFFFF"/>
            </w:tcBorders>
          </w:tcPr>
          <w:p>
            <w:r>
              <w:rPr>
                <w:b/>
                <w:color w:val="FFFFFF"/>
                <w:sz w:val="17"/>
              </w:rPr>
              <w:t>Exit criteria</w:t>
            </w:r>
          </w:p>
        </w:tc>
      </w:tr>
      <w:tr>
        <w:tc>
          <w:tcPr>
            <w:tcW w:type="dxa" w:w="1944"/>
            <w:shd w:fill="F8FAFC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20"/>
            </w:pPr>
            <w:r>
              <w:rPr>
                <w:sz w:val="16"/>
              </w:rPr>
              <w:t>474.0 Decision and governance</w:t>
            </w:r>
          </w:p>
        </w:tc>
        <w:tc>
          <w:tcPr>
            <w:tcW w:type="dxa" w:w="4608"/>
            <w:shd w:fill="F8FAFC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20"/>
            </w:pPr>
            <w:r>
              <w:rPr>
                <w:sz w:val="16"/>
              </w:rPr>
              <w:t>Confirm provider fee versus customer surcharge; approve Owner authority; amend ADR 0052; create compliance impact declaration if required; confirm local-only rollout.</w:t>
            </w:r>
          </w:p>
        </w:tc>
        <w:tc>
          <w:tcPr>
            <w:tcW w:type="dxa" w:w="1944"/>
            <w:shd w:fill="F8FAFC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20"/>
            </w:pPr>
            <w:r>
              <w:rPr>
                <w:sz w:val="16"/>
              </w:rPr>
              <w:t>Index decision gate; finance and architecture review.</w:t>
            </w:r>
          </w:p>
        </w:tc>
        <w:tc>
          <w:tcPr>
            <w:tcW w:type="dxa" w:w="1440"/>
            <w:shd w:fill="F8FAFC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20"/>
            </w:pPr>
            <w:r>
              <w:rPr>
                <w:sz w:val="16"/>
              </w:rPr>
              <w:t>Signed decision record and approved API authority.</w:t>
            </w:r>
          </w:p>
        </w:tc>
      </w:tr>
      <w:tr>
        <w:tc>
          <w:tcPr>
            <w:tcW w:type="dxa" w:w="1944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20"/>
            </w:pPr>
            <w:r>
              <w:rPr>
                <w:sz w:val="16"/>
              </w:rPr>
              <w:t>474.1 Policy API and permission foundation</w:t>
            </w:r>
          </w:p>
        </w:tc>
        <w:tc>
          <w:tcPr>
            <w:tcW w:type="dxa" w:w="4608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20"/>
            </w:pPr>
            <w:r>
              <w:rPr>
                <w:sz w:val="16"/>
              </w:rPr>
              <w:t>Add dedicated view/edit capabilities, tenant-scoped route, controller validation, fallback-only use case, repository version transaction, audit, and response DTO.</w:t>
            </w:r>
          </w:p>
        </w:tc>
        <w:tc>
          <w:tcPr>
            <w:tcW w:type="dxa" w:w="1944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20"/>
            </w:pPr>
            <w:r>
              <w:rPr>
                <w:sz w:val="16"/>
              </w:rPr>
              <w:t>474.0; existing tenant revenue module.</w:t>
            </w:r>
          </w:p>
        </w:tc>
        <w:tc>
          <w:tcPr>
            <w:tcW w:type="dxa" w:w="1440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20"/>
            </w:pPr>
            <w:r>
              <w:rPr>
                <w:sz w:val="16"/>
              </w:rPr>
              <w:t>Owner can read and create safe fallback version in local fixture; platform fields remain unchanged.</w:t>
            </w:r>
          </w:p>
        </w:tc>
      </w:tr>
      <w:tr>
        <w:tc>
          <w:tcPr>
            <w:tcW w:type="dxa" w:w="1944"/>
            <w:shd w:fill="F8FAFC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20"/>
            </w:pPr>
            <w:r>
              <w:rPr>
                <w:sz w:val="16"/>
              </w:rPr>
              <w:t>474.2 Transaction and reconciliation hardening</w:t>
            </w:r>
          </w:p>
        </w:tc>
        <w:tc>
          <w:tcPr>
            <w:tcW w:type="dxa" w:w="4608"/>
            <w:shd w:fill="F8FAFC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20"/>
            </w:pPr>
            <w:r>
              <w:rPr>
                <w:sz w:val="16"/>
              </w:rPr>
              <w:t>Verify actual versus fallback precedence, snapshot fallback inputs, expose source, correct fallback reconciliation/settlement behavior if needed, and test actual statement correction.</w:t>
            </w:r>
          </w:p>
        </w:tc>
        <w:tc>
          <w:tcPr>
            <w:tcW w:type="dxa" w:w="1944"/>
            <w:shd w:fill="F8FAFC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20"/>
            </w:pPr>
            <w:r>
              <w:rPr>
                <w:sz w:val="16"/>
              </w:rPr>
              <w:t>474.1; finance decision on estimated settlement.</w:t>
            </w:r>
          </w:p>
        </w:tc>
        <w:tc>
          <w:tcPr>
            <w:tcW w:type="dxa" w:w="1440"/>
            <w:shd w:fill="F8FAFC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20"/>
            </w:pPr>
            <w:r>
              <w:rPr>
                <w:sz w:val="16"/>
              </w:rPr>
              <w:t>No estimate is presented as actual or settled; reconciliation delta is immutable and idempotent.</w:t>
            </w:r>
          </w:p>
        </w:tc>
      </w:tr>
      <w:tr>
        <w:tc>
          <w:tcPr>
            <w:tcW w:type="dxa" w:w="1944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20"/>
            </w:pPr>
            <w:r>
              <w:rPr>
                <w:sz w:val="16"/>
              </w:rPr>
              <w:t>474.3 OPIS Owner configuration UX</w:t>
            </w:r>
          </w:p>
        </w:tc>
        <w:tc>
          <w:tcPr>
            <w:tcW w:type="dxa" w:w="4608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20"/>
            </w:pPr>
            <w:r>
              <w:rPr>
                <w:sz w:val="16"/>
              </w:rPr>
              <w:t>Add Processing fee policy settings section, method rows, effective-date/reason form, permission states, conflict handling, and responsive accessibility behavior.</w:t>
            </w:r>
          </w:p>
        </w:tc>
        <w:tc>
          <w:tcPr>
            <w:tcW w:type="dxa" w:w="1944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20"/>
            </w:pPr>
            <w:r>
              <w:rPr>
                <w:sz w:val="16"/>
              </w:rPr>
              <w:t>474.1; OPIS manifest and settings editor.</w:t>
            </w:r>
          </w:p>
        </w:tc>
        <w:tc>
          <w:tcPr>
            <w:tcW w:type="dxa" w:w="1440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20"/>
            </w:pPr>
            <w:r>
              <w:rPr>
                <w:sz w:val="16"/>
              </w:rPr>
              <w:t>Owner completes local configuration without POS shift or IMS access.</w:t>
            </w:r>
          </w:p>
        </w:tc>
      </w:tr>
      <w:tr>
        <w:tc>
          <w:tcPr>
            <w:tcW w:type="dxa" w:w="1944"/>
            <w:shd w:fill="F8FAFC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20"/>
            </w:pPr>
            <w:r>
              <w:rPr>
                <w:sz w:val="16"/>
              </w:rPr>
              <w:t>474.4 OPIS payments and reports</w:t>
            </w:r>
          </w:p>
        </w:tc>
        <w:tc>
          <w:tcPr>
            <w:tcW w:type="dxa" w:w="4608"/>
            <w:shd w:fill="F8FAFC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20"/>
            </w:pPr>
            <w:r>
              <w:rPr>
                <w:sz w:val="16"/>
              </w:rPr>
              <w:t>Add provider fee summary, source breakdown, transaction columns, policy version, and clear Business amount wording. Reuse canonical tenant revenue reads.</w:t>
            </w:r>
          </w:p>
        </w:tc>
        <w:tc>
          <w:tcPr>
            <w:tcW w:type="dxa" w:w="1944"/>
            <w:shd w:fill="F8FAFC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20"/>
            </w:pPr>
            <w:r>
              <w:rPr>
                <w:sz w:val="16"/>
              </w:rPr>
              <w:t>474.2; existing OPIS payment monitoring and report contracts.</w:t>
            </w:r>
          </w:p>
        </w:tc>
        <w:tc>
          <w:tcPr>
            <w:tcW w:type="dxa" w:w="1440"/>
            <w:shd w:fill="F8FAFC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20"/>
            </w:pPr>
            <w:r>
              <w:rPr>
                <w:sz w:val="16"/>
              </w:rPr>
              <w:t>Owner can reconcile displayed totals to API rows and policy snapshot.</w:t>
            </w:r>
          </w:p>
        </w:tc>
      </w:tr>
      <w:tr>
        <w:tc>
          <w:tcPr>
            <w:tcW w:type="dxa" w:w="1944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20"/>
            </w:pPr>
            <w:r>
              <w:rPr>
                <w:sz w:val="16"/>
              </w:rPr>
              <w:t>474.5 Verification and evidence</w:t>
            </w:r>
          </w:p>
        </w:tc>
        <w:tc>
          <w:tcPr>
            <w:tcW w:type="dxa" w:w="4608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20"/>
            </w:pPr>
            <w:r>
              <w:rPr>
                <w:sz w:val="16"/>
              </w:rPr>
              <w:t>Run backend, API, OPIS, security, architecture, documentation, compliance, and local browser checks; capture evidence and update phase ledger only when complete.</w:t>
            </w:r>
          </w:p>
        </w:tc>
        <w:tc>
          <w:tcPr>
            <w:tcW w:type="dxa" w:w="1944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20"/>
            </w:pPr>
            <w:r>
              <w:rPr>
                <w:sz w:val="16"/>
              </w:rPr>
              <w:t>474.1 through 474.4.</w:t>
            </w:r>
          </w:p>
        </w:tc>
        <w:tc>
          <w:tcPr>
            <w:tcW w:type="dxa" w:w="1440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20"/>
            </w:pPr>
            <w:r>
              <w:rPr>
                <w:sz w:val="16"/>
              </w:rPr>
              <w:t>All acceptance gates pass; evidence is SHA-bound and local-only.</w:t>
            </w:r>
          </w:p>
        </w:tc>
      </w:tr>
    </w:tbl>
    <w:p/>
    <w:p>
      <w:pPr>
        <w:pStyle w:val="Heading1"/>
      </w:pPr>
      <w:r>
        <w:t>Dependency graph</w:t>
      </w:r>
    </w:p>
    <w:p>
      <w:pPr>
        <w:pStyle w:val="ListBullet"/>
      </w:pPr>
      <w:r>
        <w:t>Governance decision and ADR amendment → permission contract → API validator and use case → repository transaction and snapshot → OPIS settings form → OPIS payment report → tests and local evidence.</w:t>
      </w:r>
    </w:p>
    <w:p>
      <w:pPr>
        <w:pStyle w:val="ListBullet"/>
      </w:pPr>
      <w:r>
        <w:t>Actual provider fee reconciliation is a dependency for finalizing whether fallback-created entries can be settlement-eligible; implementation must not guess.</w:t>
      </w:r>
    </w:p>
    <w:p>
      <w:pPr>
        <w:pStyle w:val="ListBullet"/>
      </w:pPr>
      <w:r>
        <w:t>The first Owner-editable tenant requires a safe platform policy baseline; seed or fixture creation is a rollout dependency, not a silent runtime default.</w:t>
      </w:r>
    </w:p>
    <w:p>
      <w:pPr>
        <w:pStyle w:val="ListBullet"/>
      </w:pPr>
      <w:r>
        <w:t>Phase 473 completion is a ledger eligibility dependency. No new phase number is assigned until the ledger permits Phase 474.</w:t>
      </w:r>
    </w:p>
    <w:p>
      <w:pPr>
        <w:pStyle w:val="Heading1"/>
      </w:pPr>
      <w:r>
        <w:t>Parallel work</w:t>
      </w:r>
    </w:p>
    <w:p>
      <w:pPr>
        <w:pStyle w:val="ListBullet"/>
      </w:pPr>
      <w:r>
        <w:t>While the API contract is being reviewed, OPIS wireframes and component-level states can be prepared against fixtures without changing runtime code.</w:t>
      </w:r>
    </w:p>
    <w:p>
      <w:pPr>
        <w:pStyle w:val="ListBullet"/>
      </w:pPr>
      <w:r>
        <w:t>Backend calculation and permission tests can proceed in parallel after the governance decision freezes field names and source semantics.</w:t>
      </w:r>
    </w:p>
    <w:p>
      <w:pPr>
        <w:pStyle w:val="ListBullet"/>
      </w:pPr>
      <w:r>
        <w:t>Report layout and CSV contract tests can be drafted after the response DTO is stable.</w:t>
      </w:r>
    </w:p>
    <w:p>
      <w:pPr>
        <w:pStyle w:val="Heading1"/>
      </w:pPr>
      <w:r>
        <w:t>Risks and mitigations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153B50"/>
            <w:tcBorders>
              <w:top w:val="single" w:sz="6" w:color="153B50"/>
              <w:left w:val="single" w:sz="4" w:color="FFFFFF"/>
              <w:bottom w:val="single" w:sz="6" w:color="153B50"/>
              <w:right w:val="single" w:sz="4" w:color="FFFFFF"/>
            </w:tcBorders>
          </w:tcPr>
          <w:p>
            <w:r>
              <w:rPr>
                <w:b/>
                <w:color w:val="FFFFFF"/>
                <w:sz w:val="17"/>
              </w:rPr>
              <w:t>Risk</w:t>
            </w:r>
          </w:p>
        </w:tc>
        <w:tc>
          <w:tcPr>
            <w:tcW w:type="dxa" w:w="3389"/>
            <w:shd w:fill="153B50"/>
            <w:tcBorders>
              <w:top w:val="single" w:sz="6" w:color="153B50"/>
              <w:left w:val="single" w:sz="4" w:color="FFFFFF"/>
              <w:bottom w:val="single" w:sz="6" w:color="153B50"/>
              <w:right w:val="single" w:sz="4" w:color="FFFFFF"/>
            </w:tcBorders>
          </w:tcPr>
          <w:p>
            <w:r>
              <w:rPr>
                <w:b/>
                <w:color w:val="FFFFFF"/>
                <w:sz w:val="17"/>
              </w:rPr>
              <w:t>Mitigation</w:t>
            </w:r>
          </w:p>
        </w:tc>
        <w:tc>
          <w:tcPr>
            <w:tcW w:type="dxa" w:w="3389"/>
            <w:shd w:fill="153B50"/>
            <w:tcBorders>
              <w:top w:val="single" w:sz="6" w:color="153B50"/>
              <w:left w:val="single" w:sz="4" w:color="FFFFFF"/>
              <w:bottom w:val="single" w:sz="6" w:color="153B50"/>
              <w:right w:val="single" w:sz="4" w:color="FFFFFF"/>
            </w:tcBorders>
          </w:tcPr>
          <w:p>
            <w:r>
              <w:rPr>
                <w:b/>
                <w:color w:val="FFFFFF"/>
                <w:sz w:val="17"/>
              </w:rPr>
              <w:t>Owner</w:t>
            </w:r>
          </w:p>
        </w:tc>
      </w:tr>
      <w:tr>
        <w:tc>
          <w:tcPr>
            <w:tcW w:type="dxa" w:w="3024"/>
            <w:shd w:fill="F8FAFC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20"/>
            </w:pPr>
            <w:r>
              <w:rPr>
                <w:sz w:val="16"/>
              </w:rPr>
              <w:t>Financial policy authority conflicts with ADR 0052 read-only tenant rule</w:t>
            </w:r>
          </w:p>
        </w:tc>
        <w:tc>
          <w:tcPr>
            <w:tcW w:type="dxa" w:w="5328"/>
            <w:shd w:fill="F8FAFC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20"/>
            </w:pPr>
            <w:r>
              <w:rPr>
                <w:sz w:val="16"/>
              </w:rPr>
              <w:t>Do not implement Owner write until the ADR amendment and finance decision are approved.</w:t>
            </w:r>
          </w:p>
        </w:tc>
        <w:tc>
          <w:tcPr>
            <w:tcW w:type="dxa" w:w="1296"/>
            <w:shd w:fill="F8FAFC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20"/>
            </w:pPr>
            <w:r>
              <w:rPr>
                <w:sz w:val="16"/>
              </w:rPr>
              <w:t>Architecture and finance</w:t>
            </w:r>
          </w:p>
        </w:tc>
      </w:tr>
      <w:tr>
        <w:tc>
          <w:tcPr>
            <w:tcW w:type="dxa" w:w="3024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20"/>
            </w:pPr>
            <w:r>
              <w:rPr>
                <w:sz w:val="16"/>
              </w:rPr>
              <w:t>Existing business admin report duplicates tenant revenue logic</w:t>
            </w:r>
          </w:p>
        </w:tc>
        <w:tc>
          <w:tcPr>
            <w:tcW w:type="dxa" w:w="5328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20"/>
            </w:pPr>
            <w:r>
              <w:rPr>
                <w:sz w:val="16"/>
              </w:rPr>
              <w:t>Keep tenant revenue module as source of truth; OPIS composes canonical read endpoints.</w:t>
            </w:r>
          </w:p>
        </w:tc>
        <w:tc>
          <w:tcPr>
            <w:tcW w:type="dxa" w:w="1296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20"/>
            </w:pPr>
            <w:r>
              <w:rPr>
                <w:sz w:val="16"/>
              </w:rPr>
              <w:t>Backend implementer</w:t>
            </w:r>
          </w:p>
        </w:tc>
      </w:tr>
      <w:tr>
        <w:tc>
          <w:tcPr>
            <w:tcW w:type="dxa" w:w="3024"/>
            <w:shd w:fill="F8FAFC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20"/>
            </w:pPr>
            <w:r>
              <w:rPr>
                <w:sz w:val="16"/>
              </w:rPr>
              <w:t>Fallback estimate changes settlement totals unexpectedly</w:t>
            </w:r>
          </w:p>
        </w:tc>
        <w:tc>
          <w:tcPr>
            <w:tcW w:type="dxa" w:w="5328"/>
            <w:shd w:fill="F8FAFC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20"/>
            </w:pPr>
            <w:r>
              <w:rPr>
                <w:sz w:val="16"/>
              </w:rPr>
              <w:t>Keep estimate on hold/exception and reconcile with immutable delta before eligibility.</w:t>
            </w:r>
          </w:p>
        </w:tc>
        <w:tc>
          <w:tcPr>
            <w:tcW w:type="dxa" w:w="1296"/>
            <w:shd w:fill="F8FAFC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20"/>
            </w:pPr>
            <w:r>
              <w:rPr>
                <w:sz w:val="16"/>
              </w:rPr>
              <w:t>Finance and backend</w:t>
            </w:r>
          </w:p>
        </w:tc>
      </w:tr>
      <w:tr>
        <w:tc>
          <w:tcPr>
            <w:tcW w:type="dxa" w:w="3024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20"/>
            </w:pPr>
            <w:r>
              <w:rPr>
                <w:sz w:val="16"/>
              </w:rPr>
              <w:t>Shared web-core edit affects IMS</w:t>
            </w:r>
          </w:p>
        </w:tc>
        <w:tc>
          <w:tcPr>
            <w:tcW w:type="dxa" w:w="5328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20"/>
            </w:pPr>
            <w:r>
              <w:rPr>
                <w:sz w:val="16"/>
              </w:rPr>
              <w:t>Prefer OPIS-owned UI; if shared code must change, prove all consumers and preserve no IMS feature surface.</w:t>
            </w:r>
          </w:p>
        </w:tc>
        <w:tc>
          <w:tcPr>
            <w:tcW w:type="dxa" w:w="1296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20"/>
            </w:pPr>
            <w:r>
              <w:rPr>
                <w:sz w:val="16"/>
              </w:rPr>
              <w:t>Frontend implementer</w:t>
            </w:r>
          </w:p>
        </w:tc>
      </w:tr>
      <w:tr>
        <w:tc>
          <w:tcPr>
            <w:tcW w:type="dxa" w:w="3024"/>
            <w:shd w:fill="F8FAFC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20"/>
            </w:pPr>
            <w:r>
              <w:rPr>
                <w:sz w:val="16"/>
              </w:rPr>
              <w:t>Owner assumes fee is customer charge</w:t>
            </w:r>
          </w:p>
        </w:tc>
        <w:tc>
          <w:tcPr>
            <w:tcW w:type="dxa" w:w="5328"/>
            <w:shd w:fill="F8FAFC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20"/>
            </w:pPr>
            <w:r>
              <w:rPr>
                <w:sz w:val="16"/>
              </w:rPr>
              <w:t>Use precise labels and explanatory copy; keep customer surcharge out of this phase.</w:t>
            </w:r>
          </w:p>
        </w:tc>
        <w:tc>
          <w:tcPr>
            <w:tcW w:type="dxa" w:w="1296"/>
            <w:shd w:fill="F8FAFC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20"/>
            </w:pPr>
            <w:r>
              <w:rPr>
                <w:sz w:val="16"/>
              </w:rPr>
              <w:t>Product and UX</w:t>
            </w:r>
          </w:p>
        </w:tc>
      </w:tr>
    </w:tbl>
    <w:p/>
    <w:p>
      <w:pPr>
        <w:pStyle w:val="Heading1"/>
      </w:pPr>
      <w:r>
        <w:t>Phase completion conditions</w:t>
      </w:r>
    </w:p>
    <w:p>
      <w:pPr>
        <w:pStyle w:val="ListBullet"/>
      </w:pPr>
      <w:r>
        <w:t>Phase 474 is not completed by code merge alone; all financial, authorization, historical, report, and local evidence gates must pass.</w:t>
      </w:r>
    </w:p>
    <w:p>
      <w:pPr>
        <w:pStyle w:val="ListBullet"/>
      </w:pPr>
      <w:r>
        <w:t>The phase ledger entry must include objective, status completed, dependencies, acceptance evidence, completion date, ADR/API/test links, and implementation file links.</w:t>
      </w:r>
    </w:p>
    <w:p>
      <w:pPr>
        <w:pStyle w:val="ListBullet"/>
      </w:pPr>
      <w:r>
        <w:t>The next eligible phase is Phase 475 only after Phase 474 is recorded completed and the ledger is rechecked.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79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rPr>
        <w:color w:val="52606D"/>
        <w:sz w:val="16"/>
      </w:rPr>
      <w:t>Plan version 1.0  |  2026-10-06  |  Local planning artifact</w:t>
    </w:r>
    <w:r>
      <w:t xml:space="preserve">    </w:t>
    </w:r>
    <w:r>
      <w:t xml:space="preserve">Page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color w:val="52606D"/>
        <w:sz w:val="16"/>
      </w:rPr>
      <w:t>DGFY POS-DGFY  |  Configurable Payment Processing Fee  |  Section 08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/>
      <w:color w:val="1F2937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Arial" w:hAnsi="Arial"/>
      <w:b/>
      <w:bCs/>
      <w:color w:val="153B5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0F766E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1F2937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153B5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Arial" w:hAnsi="Arial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/>
      <w:contextualSpacing/>
    </w:pPr>
    <w:rPr>
      <w:rFonts w:ascii="Arial" w:hAnsi="Arial"/>
      <w:sz w:val="19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