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Rollout Rollback and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09  Rollout Rollback and Acceptance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Define local rollout order, stop conditions, rollback without data loss, and measurable acceptance criteria for the feature.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Sections 02 through 08; ADR 0052 rollout and rollback; local-only user instruction.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Local rollout order</w:t>
      </w:r>
    </w:p>
    <w:p>
      <w:pPr>
        <w:pStyle w:val="ListBullet"/>
      </w:pPr>
      <w:r>
        <w:t>Apply or verify additive local schema state only if the data review proves a migration is required; do not mutate production or staging.</w:t>
      </w:r>
    </w:p>
    <w:p>
      <w:pPr>
        <w:pStyle w:val="ListBullet"/>
      </w:pPr>
      <w:r>
        <w:t>Deploy local API code with tenant revenue sharing still disabled unless the local fixture explicitly enables it for deterministic tests.</w:t>
      </w:r>
    </w:p>
    <w:p>
      <w:pPr>
        <w:pStyle w:val="ListBullet"/>
      </w:pPr>
      <w:r>
        <w:t>Seed one local tenant with a platform-created on-hold policy and one Owner account; include a second member with report-only access.</w:t>
      </w:r>
    </w:p>
    <w:p>
      <w:pPr>
        <w:pStyle w:val="ListBullet"/>
      </w:pPr>
      <w:r>
        <w:t>Run policy API and transaction fixture tests for actual, fallback, missing, and reconciled provider data.</w:t>
      </w:r>
    </w:p>
    <w:p>
      <w:pPr>
        <w:pStyle w:val="ListBullet"/>
      </w:pPr>
      <w:r>
        <w:t>Run OPIS local browser verification at desktop and narrow viewport; verify no active POS shift is required and no IMS route is involved.</w:t>
      </w:r>
    </w:p>
    <w:p>
      <w:pPr>
        <w:pStyle w:val="ListBullet"/>
      </w:pPr>
      <w:r>
        <w:t>Run architecture, security, compliance, documentation, builds, and focused regressions.</w:t>
      </w:r>
    </w:p>
    <w:p>
      <w:pPr>
        <w:pStyle w:val="ListBullet"/>
      </w:pPr>
      <w:r>
        <w:t>Capture evidence and update the Phase 474 ledger entry only after every gate passes.</w:t>
      </w:r>
    </w:p>
    <w:p>
      <w:pPr>
        <w:pStyle w:val="Heading1"/>
      </w:pPr>
      <w:r>
        <w:t>Stop conditions</w:t>
      </w:r>
    </w:p>
    <w:p>
      <w:pPr>
        <w:pStyle w:val="ListBullet"/>
      </w:pPr>
      <w:r>
        <w:t>Stop if the intended fee is a customer surcharge rather than provider fee fallback; this plan no longer matches the requested behavior.</w:t>
      </w:r>
    </w:p>
    <w:p>
      <w:pPr>
        <w:pStyle w:val="ListBullet"/>
      </w:pPr>
      <w:r>
        <w:t>Stop if Owner authority cannot be represented safely without changing the approved ownership contract.</w:t>
      </w:r>
    </w:p>
    <w:p>
      <w:pPr>
        <w:pStyle w:val="ListBullet"/>
      </w:pPr>
      <w:r>
        <w:t>Stop if fallback amounts can enter an eligible settlement batch without the approved financial rule.</w:t>
      </w:r>
    </w:p>
    <w:p>
      <w:pPr>
        <w:pStyle w:val="ListBullet"/>
      </w:pPr>
      <w:r>
        <w:t>Stop if a cross-tenant read or mutation is possible through query, route, policy, or UI identifier manipulation.</w:t>
      </w:r>
    </w:p>
    <w:p>
      <w:pPr>
        <w:pStyle w:val="ListBullet"/>
      </w:pPr>
      <w:r>
        <w:t>Stop if a change would modify customer totals, POS terminal totals, service charge, delivery fee, or historical service-fee values.</w:t>
      </w:r>
    </w:p>
    <w:p>
      <w:pPr>
        <w:pStyle w:val="ListBullet"/>
      </w:pPr>
      <w:r>
        <w:t>Stop if the implementation requires an IMS edit; re-scope to OPIS or request an explicit architecture decision.</w:t>
      </w:r>
    </w:p>
    <w:p>
      <w:pPr>
        <w:pStyle w:val="Heading1"/>
      </w:pPr>
      <w:r>
        <w:t>Rollback plan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Data protection</w:t>
            </w:r>
          </w:p>
        </w:tc>
      </w:tr>
      <w:tr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Incorrect fallback values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Disable Owner edit capability or set affected method fallback to null through a new governed version.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Retain prior policy versions and snapshots.</w:t>
            </w:r>
          </w:p>
        </w:tc>
      </w:tr>
      <w:tr>
        <w:tc>
          <w:tcPr>
            <w:tcW w:type="dxa" w:w="237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Incorrect provider fee calculation</w:t>
            </w:r>
          </w:p>
        </w:tc>
        <w:tc>
          <w:tcPr>
            <w:tcW w:type="dxa" w:w="460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Disable the new path, keep revenue posting on safe manual review, and reconcile affected local fixtures.</w:t>
            </w:r>
          </w:p>
        </w:tc>
        <w:tc>
          <w:tcPr>
            <w:tcW w:type="dxa" w:w="26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Do not delete or rewrite ledger entries.</w:t>
            </w:r>
          </w:p>
        </w:tc>
      </w:tr>
      <w:tr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Authorization bypass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Disable route or feature flag immediately; revoke capability; inspect audit and access logs.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 policy mutation is accepted until the bypass is resolved.</w:t>
            </w:r>
          </w:p>
        </w:tc>
      </w:tr>
      <w:tr>
        <w:tc>
          <w:tcPr>
            <w:tcW w:type="dxa" w:w="237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display regression</w:t>
            </w:r>
          </w:p>
        </w:tc>
        <w:tc>
          <w:tcPr>
            <w:tcW w:type="dxa" w:w="460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Rollback OPIS UI only while API and ledger data remain intact.</w:t>
            </w:r>
          </w:p>
        </w:tc>
        <w:tc>
          <w:tcPr>
            <w:tcW w:type="dxa" w:w="26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source of truth is unaffected.</w:t>
            </w:r>
          </w:p>
        </w:tc>
      </w:tr>
      <w:tr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Migration issue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additive migration rollback procedure only after confirming no posted history is dependent on the new nullable/default-safe field.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Never drop financial tables or posted history.</w:t>
            </w:r>
          </w:p>
        </w:tc>
      </w:tr>
    </w:tbl>
    <w:p/>
    <w:p>
      <w:pPr>
        <w:pStyle w:val="Heading1"/>
      </w:pPr>
      <w:r>
        <w:t>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An authenticated current Owner can view the current policy and source-aware payment statement for only the selected tenant.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Local OPIS and API evidence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Owner can save card, ewallet, QR Ph, online banking, and other fallback rates with an effective date and reason; a new policy version is created.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Policy transaction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AC-003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Owner cannot change DGFY platform rate, fee payer, settlement, payout, or automatic-payout fields through the Owner endpoint.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Privilege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AC-004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payment with actual provider fee uses actual data even when a fallback is configured.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Posting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AC-005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payment without actual provider fee uses the exact normalized fallback and displays it as estimated.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Posting and UI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AC-006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payment without actual fee or fallback remains manual review and is not rendered as PHP 0.00 actual fee.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Failure-path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AC-007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Changing policy does not alter historical transaction amount, fee source, policy version, settlement batch, receipt, Storefront total, or POS cashier total.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Regression and history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AC-008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Later provider reconciliation changes the amount through an auditable immutable correction and removes the estimate label only for the reconciled record.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Reconciliation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AC-009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Payments separately shows provider processing fees, DGFY platform fees, refunds, tenant amount due, and unresolved source totals.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Desktop UI evidence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AC-010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 changed file, route, component, test, or shared surface adds an IMS feature or modifies IMS behavior.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Diff and scope review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AC-011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Architecture, focused tests, OPIS build, compliance, docs, and local-only evidence pass.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Release evidence checklist</w:t>
            </w:r>
          </w:p>
        </w:tc>
      </w:tr>
    </w:tbl>
    <w:p/>
    <w:p>
      <w:pPr>
        <w:pStyle w:val="Heading1"/>
      </w:pPr>
      <w:r>
        <w:t>Release evidence checklist</w:t>
      </w:r>
    </w:p>
    <w:p>
      <w:pPr>
        <w:pStyle w:val="ListBullet"/>
      </w:pPr>
      <w:r>
        <w:t>Approved interpretation and ADR 0052 amendment reference.</w:t>
      </w:r>
    </w:p>
    <w:p>
      <w:pPr>
        <w:pStyle w:val="ListBullet"/>
      </w:pPr>
      <w:r>
        <w:t>Permission matrix and owner capability evidence.</w:t>
      </w:r>
    </w:p>
    <w:p>
      <w:pPr>
        <w:pStyle w:val="ListBullet"/>
      </w:pPr>
      <w:r>
        <w:t>API contract and database transaction test results.</w:t>
      </w:r>
    </w:p>
    <w:p>
      <w:pPr>
        <w:pStyle w:val="ListBullet"/>
      </w:pPr>
      <w:r>
        <w:t>Actual versus fallback versus manual-review calculation evidence.</w:t>
      </w:r>
    </w:p>
    <w:p>
      <w:pPr>
        <w:pStyle w:val="ListBullet"/>
      </w:pPr>
      <w:r>
        <w:t>Historical policy preservation and reconciliation delta evidence.</w:t>
      </w:r>
    </w:p>
    <w:p>
      <w:pPr>
        <w:pStyle w:val="ListBullet"/>
      </w:pPr>
      <w:r>
        <w:t>OPIS desktop and narrow-screen screenshots or Playwright trace.</w:t>
      </w:r>
    </w:p>
    <w:p>
      <w:pPr>
        <w:pStyle w:val="ListBullet"/>
      </w:pPr>
      <w:r>
        <w:t>No-IMS scope review and changed-file inventory.</w:t>
      </w:r>
    </w:p>
    <w:p>
      <w:pPr>
        <w:pStyle w:val="ListBullet"/>
      </w:pPr>
      <w:r>
        <w:t>Local command results with commit SHA; no staging or production claims.</w:t>
      </w:r>
    </w:p>
    <w:p>
      <w:pPr>
        <w:pStyle w:val="Heading1"/>
      </w:pPr>
      <w:r>
        <w:t>Final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FFB"/>
            <w:tcBorders>
              <w:top w:val="single" w:sz="6" w:color="D9B44A"/>
              <w:left w:val="single" w:sz="12" w:color="0F766E"/>
              <w:bottom w:val="single" w:sz="6" w:color="D9B44A"/>
              <w:right w:val="single" w:sz="6" w:color="D9B44A"/>
            </w:tcBorders>
          </w:tcPr>
          <w:p>
            <w:r>
              <w:rPr>
                <w:b/>
                <w:color w:val="153B50"/>
              </w:rPr>
              <w:t xml:space="preserve">Recommendation  </w:t>
            </w:r>
            <w:r>
              <w:t>Approve this as a new Owner financial-policy feature with a provider-fee-only interpretation. Implement it in OPIS and the tenant revenue module, preserve the current financial ledger boundaries, and keep IMS, customer totals, POS terminal behavior, and Storefront pricing unchanged.</w:t>
            </w:r>
          </w:p>
        </w:tc>
      </w:tr>
    </w:tbl>
    <w:p/>
    <w:p>
      <w:pPr>
        <w:spacing w:before="160"/>
      </w:pPr>
      <w:r>
        <w:rPr>
          <w:i/>
          <w:color w:val="52606D"/>
          <w:sz w:val="17"/>
        </w:rPr>
        <w:t>After Phase 474 acceptance, any production release requires a separate release-owner approval and deployed verification plan. This document does not authorize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