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Objective and Current State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01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Objective</w:t>
      </w:r>
    </w:p>
    <w:p>
      <w:r>
        <w:rPr>
          <w:b w:val="0"/>
          <w:i w:val="0"/>
          <w:color w:val="000000"/>
        </w:rPr>
        <w:t>Implement configurable, tenant-scoped payment processing fee policy in OPIS so an authorized Owner can see the applicable processing-fee source and version only fallback estimates without changing platform settlement authority.</w:t>
      </w:r>
    </w:p>
    <w:p>
      <w:pPr>
        <w:pStyle w:val="Heading1"/>
      </w:pPr>
      <w:r>
        <w:rPr>
          <w:b/>
          <w:i w:val="0"/>
          <w:color w:val="000000"/>
          <w:sz w:val="30"/>
        </w:rPr>
        <w:t>Current state confirmed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Tenant revenue already stores provider fee source and versioned TenantRevenueFeePolicy data.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The prior surface did not expose an Owner fallback editor, dedicated policy permission, source-aware report, or optimistic version conflict handling.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The existing transaction reconciliation path could treat a mathematically balanced fallback as reconciled; fallback is now explicitly blocking until actual evidence arrives.</w:t>
      </w:r>
    </w:p>
    <w:p>
      <w:pPr>
        <w:pStyle w:val="Heading1"/>
      </w:pPr>
      <w:r>
        <w:rPr>
          <w:b/>
          <w:i w:val="0"/>
          <w:color w:val="000000"/>
          <w:sz w:val="30"/>
        </w:rPr>
        <w:t>Implemented result</w:t>
      </w:r>
    </w:p>
    <w:p>
      <w:r>
        <w:rPr>
          <w:b w:val="0"/>
          <w:i w:val="0"/>
          <w:color w:val="000000"/>
        </w:rPr>
        <w:t>The existing tenant-revenue model and JSON policy field were extended without a new settings table or migration. OPIS now owns the configuration and statement presentation. IMS remains outside the implementation boundary.</w:t>
      </w:r>
    </w:p>
    <w:p>
      <w:pPr>
        <w:pStyle w:val="Heading1"/>
      </w:pPr>
      <w:r>
        <w:rPr>
          <w:b/>
          <w:i w:val="0"/>
          <w:color w:val="000000"/>
          <w:sz w:val="30"/>
        </w:rPr>
        <w:t>Evidence</w:t>
      </w:r>
    </w:p>
    <w:p>
      <w:r>
        <w:rPr>
          <w:b w:val="0"/>
          <w:i w:val="0"/>
          <w:color w:val="000000"/>
        </w:rPr>
        <w:t>Architecture checks, focused backend tests, OPIS contract tests, OPIS build, documentation/ADR lint, compliance check, and git diff safety check passed.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