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Requirements and Business Rules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02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Implemented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76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172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Owner fallback edit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Only fallback_fee_policy methods card, ewallet, qrph, online_banking, and other are accepted.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Protected fields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DGFY rate, settlement, payout, payer allocation, and destination values are copied from the latest version.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Precedence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Webhook/API/statement evidence remains authoritative over configured fallback.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Missing evidence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Missing provider fee with no configured fallback remains manual review/null, not zero.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Verified by existing path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On hold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Fallback creates provider_fee_estimated blocking reconciliation and keeps settlement on hold.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Tenant scope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Owner route derives tenant context from authenticated session and accepts no tenant selector.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Failure paths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Stale expected policy version returns a conflict and creates no new policy or audit event.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Unknown top-level or nested fields fail strict validation instead of being stripped.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Fallback and manual-review sources remain visible in reporting so uncertainty cannot be mistaken for provider evidence.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