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Target Architecture and API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03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Boundary</w:t>
      </w:r>
    </w:p>
    <w:p>
      <w:r>
        <w:rPr>
          <w:b w:val="0"/>
          <w:i w:val="0"/>
          <w:color w:val="000000"/>
        </w:rPr>
        <w:t>The feature is implemented in apps/dgfy-opis and apps/dgfy-api tenantRevenue. Existing platform finance routes remain under /admin and continue to use finance roles. No code was added to apps/dgfy-ims.</w:t>
      </w:r>
    </w:p>
    <w:p>
      <w:pPr>
        <w:pStyle w:val="Heading1"/>
      </w:pPr>
      <w:r>
        <w:rPr>
          <w:b/>
          <w:i w:val="0"/>
          <w:color w:val="000000"/>
          <w:sz w:val="30"/>
        </w:rPr>
        <w:t>API contract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032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4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Authorization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GET /tenant/fee-history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Read tenant policy versions for OPIS settings/reporting.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Authenticated tenant fee-policy view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POST /tenant/fee-policies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Create immutable Owner fallback version.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Authenticated tenant fee-policy edit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GET /tenant/summary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Source-aware revenue dashboard totals.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Authenticated reports:view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GET /tenant/transactions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Tenant-scoped transaction rows and source fields.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Authenticated reports:view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Security design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caller-supplied tenant_id is used by Owner write handling.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The route adds a dedicated permission and returns 401/403 before validation/use-case execution.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Protected platform fields are absent from the strict Owner schema and rejected if submitted.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