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Data and Transaction Plan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04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Data decision</w:t>
      </w:r>
    </w:p>
    <w:p>
      <w:r>
        <w:rPr>
          <w:b w:val="0"/>
          <w:i w:val="0"/>
          <w:color w:val="000000"/>
        </w:rPr>
        <w:t>The existing TenantRevenueFeePolicy.fallback_fee_policy JSON field is reused. No migration is required because the column and provider_fee_source enum already support the required representation. Schema compatibility and migration contract tests were rerun.</w:t>
      </w:r>
    </w:p>
    <w:p>
      <w:pPr>
        <w:pStyle w:val="Heading1"/>
      </w:pPr>
      <w:r>
        <w:rPr>
          <w:b/>
          <w:i w:val="0"/>
          <w:color w:val="000000"/>
          <w:sz w:val="30"/>
        </w:rPr>
        <w:t>Transaction behavior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Owner saves close the previous version with ends_at and insert a new version under a row lock.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Expected version matching prevents lost updates from concurrent editors.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Fallback fees are included in the financial calculation but marked estimated, reconciled_status=exception, and settlement_status=on_hold.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Actual statement/API reconciliation records the actual financials in the snapshot, posts any delta adjustment, resolves the estimate exception, and updates the source to statement/api.</w:t>
      </w:r>
    </w:p>
    <w:p>
      <w:pPr>
        <w:pStyle w:val="Heading1"/>
      </w:pPr>
      <w:r>
        <w:rPr>
          <w:b/>
          <w:i w:val="0"/>
          <w:color w:val="000000"/>
          <w:sz w:val="30"/>
        </w:rPr>
        <w:t>Integrity evidence</w:t>
      </w:r>
    </w:p>
    <w:p>
      <w:r>
        <w:rPr>
          <w:b w:val="0"/>
          <w:i w:val="0"/>
          <w:color w:val="000000"/>
        </w:rPr>
        <w:t>Use-case tests verify protected field preservation, stale-version rejection, fallback calculation, actual reconciliation replacement, resolved exception state, and settlement release to pending.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