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b/>
          <w:i w:val="0"/>
          <w:color w:val="000000"/>
          <w:sz w:val="44"/>
        </w:rPr>
        <w:t>Execution Authorization and Owner User Experience</w:t>
      </w:r>
    </w:p>
    <w:p>
      <w:pPr>
        <w:spacing w:after="240"/>
      </w:pPr>
      <w:r>
        <w:rPr>
          <w:b w:val="0"/>
          <w:i/>
          <w:color w:val="000000"/>
          <w:sz w:val="22"/>
        </w:rPr>
        <w:t>Section 05 implementation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Repository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UpdatePOS worktree at C:/Users/USER/.codex/worktrees/updates-pos/POS-DGFY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Environment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Local verification only; no staging, production, merge, push, or live tenant mutation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Boundary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OPIS Back Office and tenant-revenue module; apps/dgfy-ims intentionally unchanged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Authorization</w:t>
      </w:r>
    </w:p>
    <w:p>
      <w:r>
        <w:rPr>
          <w:b w:val="0"/>
          <w:i w:val="0"/>
          <w:color w:val="000000"/>
        </w:rPr>
        <w:t>The tenant_revenue:fee_policy:view and tenant_revenue:fee_policy:edit permissions are projected into Business Admin settings. Admin-like and master-admin users retain the existing owner-admin behavior; explicitly permitted users receive the narrow capability.</w:t>
      </w:r>
    </w:p>
    <w:p>
      <w:pPr>
        <w:pStyle w:val="Heading1"/>
      </w:pPr>
      <w:r>
        <w:rPr>
          <w:b/>
          <w:i w:val="0"/>
          <w:color w:val="000000"/>
          <w:sz w:val="30"/>
        </w:rPr>
        <w:t>Owner workflow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Open OPIS Business Admin settings and select Processing fees.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Review current policy version and immutable history.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Enter rate and fixed fallback values for each supported payment method.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Choose an effective date after the current version and provide a reason.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Save; a new version is shown and the draft resets from the saved policy.</w:t>
      </w:r>
    </w:p>
    <w:p>
      <w:pPr>
        <w:pStyle w:val="Heading1"/>
      </w:pPr>
      <w:r>
        <w:rPr>
          <w:b/>
          <w:i w:val="0"/>
          <w:color w:val="000000"/>
          <w:sz w:val="30"/>
        </w:rPr>
        <w:t>UX safeguards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View-only users see disabled controls and an explicit explanation.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The screen labels fallback values as estimates and explains that provider evidence wins.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Loading, error, success, empty, refresh, and responsive desktop/mobile states are implemented.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Payment reporting separates actual/reconciled, estimated fallback, and manual review values.</w:t>
      </w:r>
    </w:p>
    <w:p>
      <w:pPr>
        <w:pStyle w:val="Heading1"/>
      </w:pPr>
      <w:r>
        <w:rPr>
          <w:b/>
          <w:i w:val="0"/>
          <w:color w:val="000000"/>
          <w:sz w:val="30"/>
        </w:rPr>
        <w:t>Evidence</w:t>
      </w:r>
    </w:p>
    <w:p>
      <w:r>
        <w:rPr>
          <w:b w:val="0"/>
          <w:i w:val="0"/>
          <w:color w:val="000000"/>
        </w:rPr>
        <w:t>OPIS manifest/settings-model contracts and the dedicated processing-fee contract suite pass. OPIS lint reports no errors and the production build passes.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000000"/>
        <w:sz w:val="16"/>
      </w:rPr>
      <w:t>DGFY local execution evidence  |  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