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b/>
          <w:i w:val="0"/>
          <w:color w:val="000000"/>
          <w:sz w:val="44"/>
        </w:rPr>
        <w:t>Execution Reports Audit and Historical Data</w:t>
      </w:r>
    </w:p>
    <w:p>
      <w:pPr>
        <w:spacing w:after="240"/>
      </w:pPr>
      <w:r>
        <w:rPr>
          <w:b w:val="0"/>
          <w:i/>
          <w:color w:val="000000"/>
          <w:sz w:val="22"/>
        </w:rPr>
        <w:t>Section 06 implementation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Repository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UpdatePOS worktree at C:/Users/USER/.codex/worktrees/updates-pos/POS-DGFY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Environment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Local verification only; no staging, production, merge, push, or live tenant mutation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Boundary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OPIS Back Office and tenant-revenue module; apps/dgfy-ims intentionally unchanged</w:t>
            </w:r>
          </w:p>
        </w:tc>
      </w:tr>
      <w:t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74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000000"/>
                <w:sz w:val="19"/>
              </w:rPr>
              <w:t>VERIFIED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  <w:i w:val="0"/>
          <w:color w:val="000000"/>
          <w:sz w:val="30"/>
        </w:rPr>
        <w:t>Reporting result</w:t>
      </w:r>
    </w:p>
    <w:p>
      <w:r>
        <w:rPr>
          <w:b w:val="0"/>
          <w:i w:val="0"/>
          <w:color w:val="000000"/>
        </w:rPr>
        <w:t>Tenant revenue dashboard totals now include processing_fee_sources for actual, estimated_fallback, and manual_review. Transaction rows expose provider_fee_basis and provider_fee_estimated. CSV exports include source, basis, estimate flag, policy version, and policy effective date.</w:t>
      </w:r>
    </w:p>
    <w:p>
      <w:pPr>
        <w:pStyle w:val="Heading1"/>
      </w:pPr>
      <w:r>
        <w:rPr>
          <w:b/>
          <w:i w:val="0"/>
          <w:color w:val="000000"/>
          <w:sz w:val="30"/>
        </w:rPr>
        <w:t>Audit result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Owner policy changes write tenant_revenue_owner_fallback_policy_version_created with old/new fallback values and protected-field names.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Actual reconciliation writes provider_reconciliation.actual_provider_financials and an audit event with the statement/API reference and new provider fee.</w:t>
      </w:r>
    </w:p>
    <w:p>
      <w:pPr>
        <w:pStyle w:val="ListBullet"/>
        <w:spacing w:after="60"/>
      </w:pPr>
      <w:r>
        <w:rPr>
          <w:b w:val="0"/>
          <w:i w:val="0"/>
          <w:color w:val="000000"/>
          <w:sz w:val="20"/>
        </w:rPr>
        <w:t>Historical policy rows remain immutable and effective-date selected.</w:t>
      </w:r>
    </w:p>
    <w:p>
      <w:pPr>
        <w:pStyle w:val="Heading1"/>
      </w:pPr>
      <w:r>
        <w:rPr>
          <w:b/>
          <w:i w:val="0"/>
          <w:color w:val="000000"/>
          <w:sz w:val="30"/>
        </w:rPr>
        <w:t>Unchanged surfaces</w:t>
      </w:r>
    </w:p>
    <w:p>
      <w:r>
        <w:rPr>
          <w:b w:val="0"/>
          <w:i w:val="0"/>
          <w:color w:val="000000"/>
        </w:rPr>
        <w:t>Customer totals, POS checkout amounts, service/delivery fees, and platform settlement fields remain unchanged. The implementation does not create a customer-facing surcharge.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000000"/>
        <w:sz w:val="16"/>
      </w:rPr>
      <w:t>DGFY local execution evidence  |  2026-10-06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