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Execution Testing Security and Verification</w:t>
      </w:r>
    </w:p>
    <w:p>
      <w:pPr>
        <w:spacing w:after="240"/>
      </w:pPr>
      <w:r>
        <w:rPr>
          <w:b w:val="0"/>
          <w:i/>
          <w:color w:val="000000"/>
          <w:sz w:val="22"/>
        </w:rPr>
        <w:t>Section 07 implementation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Focused backend evidence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62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Command area</w:t>
            </w:r>
          </w:p>
        </w:tc>
        <w:tc>
          <w:tcPr>
            <w:tcW w:type="dxa" w:w="288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Tenant revenue use cases, money, security, migration/schema, and Owner-policy contracts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Changed API source and test ESLint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Architecture guardrails and controller boundaries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Documentation and ADR lint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Compliance impact and API contract checks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git diff --check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Focused OPIS evidence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62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Settings model, manifest, and processing-fee contract tests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17 passed</w:t>
            </w:r>
          </w:p>
        </w:tc>
      </w:tr>
      <w:tr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OPIS ESLint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 with one pre-existing max-lines warning</w:t>
            </w:r>
          </w:p>
        </w:tc>
      </w:tr>
      <w:tr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OPIS production build</w:t>
            </w:r>
          </w:p>
        </w:tc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Security scenarios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Unauthorized/missing permission route behavior is covered by the route contract and dedicated permission middleware.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Tenant selector and protected-field mass assignment are rejected by validator tests.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Stale concurrent edit is rejected by expected-version conflict test.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No production or staging security test was run; local-only scope is intentional.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