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b/>
          <w:i w:val="0"/>
          <w:color w:val="000000"/>
          <w:sz w:val="44"/>
        </w:rPr>
        <w:t>Execution Implementation Phases and Dependencies</w:t>
      </w:r>
    </w:p>
    <w:p>
      <w:pPr>
        <w:spacing w:after="240"/>
      </w:pPr>
      <w:r>
        <w:rPr>
          <w:b w:val="0"/>
          <w:i/>
          <w:color w:val="000000"/>
          <w:sz w:val="22"/>
        </w:rPr>
        <w:t>Section 08 implementation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Repository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UpdatePOS worktree at C:/Users/USER/.codex/worktrees/updates-pos/POS-DGFY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Environment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Local verification only; no staging, production, merge, push, or live tenant mutation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Boundary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OPIS Back Office and tenant-revenue module; apps/dgfy-ims intentionally unchanged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VERIFIED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  <w:i w:val="0"/>
          <w:color w:val="000000"/>
          <w:sz w:val="30"/>
        </w:rPr>
        <w:t>Dependency order executed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Execution step</w:t>
            </w:r>
          </w:p>
        </w:tc>
        <w:tc>
          <w:tcPr>
            <w:tcW w:type="dxa" w:w="6336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Work</w:t>
            </w:r>
          </w:p>
        </w:tc>
        <w:tc>
          <w:tcPr>
            <w:tcW w:type="dxa" w:w="1440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EXEC-001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Plan/index read and baseline inspection.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EXEC-002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Governance and ADR 0052 amendment.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EXEC-003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Permission, validation, route, controller, and use-case changes.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EXEC-004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Fallback calculation and reconciliation integrity.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EXEC-005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OPIS settings editor and payment statement.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EXEC-006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Focused tests, lint, build, architecture, docs, compliance.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</w:tr>
      <w:tr>
        <w:tc>
          <w:tcPr>
            <w:tcW w:type="dxa" w:w="17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EXEC-007</w:t>
            </w:r>
          </w:p>
        </w:tc>
        <w:tc>
          <w:tcPr>
            <w:tcW w:type="dxa" w:w="633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Independent final audit and boundary review.</w:t>
            </w:r>
          </w:p>
        </w:tc>
        <w:tc>
          <w:tcPr>
            <w:tcW w:type="dxa" w:w="14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i w:val="0"/>
                <w:color w:val="000000"/>
                <w:sz w:val="17"/>
              </w:rPr>
              <w:t>Pass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  <w:i w:val="0"/>
          <w:color w:val="000000"/>
          <w:sz w:val="30"/>
        </w:rPr>
        <w:t>Phase ledger</w:t>
      </w:r>
    </w:p>
    <w:p>
      <w:r>
        <w:rPr>
          <w:b w:val="0"/>
          <w:i w:val="0"/>
          <w:color w:val="000000"/>
        </w:rPr>
        <w:t>The repository phase ledger currently has Phase 473 in progress and identifies Phase 474 as the next eligible phase. This implementation does not mark a phase complete or mutate the ledger because completion belongs to the governed phase workflow after its acceptance evidence is formally recorded.</w:t>
      </w:r>
    </w:p>
    <w:p>
      <w:pPr>
        <w:pStyle w:val="Heading1"/>
      </w:pPr>
      <w:r>
        <w:rPr>
          <w:b/>
          <w:i w:val="0"/>
          <w:color w:val="000000"/>
          <w:sz w:val="30"/>
        </w:rPr>
        <w:t>Dependency notes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No schema migration or backfill dependency was introduced.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No IMS dependency exists.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Live preflight and authenticated browser acceptance remain release evidence dependencies, not code dependencies.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000000"/>
        <w:sz w:val="16"/>
      </w:rPr>
      <w:t>DGFY local execution evidence  |  2026-10-06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