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Rollout Rollback and Acceptance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09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Rollout boundary</w:t>
      </w:r>
    </w:p>
    <w:p>
      <w:r>
        <w:rPr>
          <w:b w:val="0"/>
          <w:i w:val="0"/>
          <w:color w:val="000000"/>
        </w:rPr>
        <w:t>This execution is local-only. No staging or production deployment, merge, push, or tenant data mutation was performed. The feature is isolated to OPIS and tenant-revenue code paths.</w:t>
      </w:r>
    </w:p>
    <w:p>
      <w:pPr>
        <w:pStyle w:val="Heading1"/>
      </w:pPr>
      <w:r>
        <w:rPr>
          <w:b/>
          <w:i w:val="0"/>
          <w:color w:val="000000"/>
          <w:sz w:val="30"/>
        </w:rPr>
        <w:t>Rollback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Revert the tenant-revenue policy endpoint/use-case/reporting changes and the OPIS manifest/editor/report surface together.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Revert the permission projection and ADR amendment with the implementation batch.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schema rollback is needed because no migration was added.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Existing policy and transaction records remain readable because the change reuses existing fields and preserves historical versions.</w:t>
      </w:r>
    </w:p>
    <w:p>
      <w:pPr>
        <w:pStyle w:val="Heading1"/>
      </w:pPr>
      <w:r>
        <w:rPr>
          <w:b/>
          <w:i w:val="0"/>
          <w:color w:val="000000"/>
          <w:sz w:val="30"/>
        </w:rPr>
        <w:t>Acceptance criteria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58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33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AC-001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Owner view is tenant-scoped and source-aware.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AC-002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Fallback fields, effective date, reason, versioning, and save flow.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AC-003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Strict schema and protected-field preservation.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AC-004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Actual reconciliation replaces fallback and resolves hold.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AC-005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Fallback exact calculation is labeled estimated.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AC-006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Missing evidence remains manual review/null.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AC-007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Existing customer/POS totals and fee boundaries unchanged.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AC-008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Immutable actual financial snapshot and reconciliation delta.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AC-009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OPIS statement separates fee sources.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AC-010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IMS has no diff.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AC-011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Local checks and evidence gates pass.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