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bCs/>
          <w:i w:val="false"/>
          <w:iCs w:val="false"/>
          <w:sz w:val="28"/>
          <w:szCs w:val="28"/>
        </w:rPr>
        <w:t xml:space="preserve">INDEPENDENT CONTRACTOR AGREEMENT</w:t>
      </w:r>
    </w:p>
    <w:p>
      <w:pPr>
        <w:spacing w:after="200" w:before="0" w:line="280"/>
        <w:jc w:val="center"/>
      </w:pPr>
      <w:r>
        <w:rPr>
          <w:rFonts w:ascii="Times New Roman" w:cs="Times New Roman" w:eastAsia="Times New Roman" w:hAnsi="Times New Roman"/>
          <w:b/>
          <w:bCs/>
          <w:i w:val="false"/>
          <w:iCs w:val="false"/>
          <w:sz w:val="26"/>
          <w:szCs w:val="26"/>
        </w:rPr>
        <w:t xml:space="preserve">SALES REPRESENTATIVE</w:t>
      </w:r>
    </w:p>
    <w:p>
      <w:pPr>
        <w:spacing w:after="60" w:before="120" w:line="280"/>
        <w:jc w:val="both"/>
      </w:pPr>
      <w:r>
        <w:rPr>
          <w:rFonts w:ascii="Times New Roman" w:cs="Times New Roman" w:eastAsia="Times New Roman" w:hAnsi="Times New Roman"/>
          <w:b w:val="false"/>
          <w:bCs w:val="false"/>
          <w:i w:val="false"/>
          <w:iCs w:val="false"/>
          <w:sz w:val="24"/>
          <w:szCs w:val="24"/>
          <w:u w:val="single"/>
        </w:rPr>
        <w:t xml:space="preserve">Basic Information</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Name:</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Mailing Address:</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Cell Phone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Email:</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Emergency Contact Name and Information:</w:t>
      </w:r>
    </w:p>
    <w:p>
      <w:pPr>
        <w:spacing w:after="60" w:before="160" w:line="280"/>
        <w:jc w:val="both"/>
      </w:pPr>
      <w:r>
        <w:rPr>
          <w:rFonts w:ascii="Times New Roman" w:cs="Times New Roman" w:eastAsia="Times New Roman" w:hAnsi="Times New Roman"/>
          <w:b w:val="false"/>
          <w:bCs w:val="false"/>
          <w:i w:val="false"/>
          <w:iCs w:val="false"/>
          <w:sz w:val="24"/>
          <w:szCs w:val="24"/>
          <w:u w:val="single"/>
        </w:rPr>
        <w:t xml:space="preserve">Required Items</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Signed Contract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Copy of Driver's License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ID Badge and Picture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Voided Check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W-9  [   ]</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60" w:before="60" w:line="280"/>
        <w:jc w:val="both"/>
      </w:pPr>
      <w:r>
        <w:rPr>
          <w:rFonts w:ascii="Times New Roman" w:cs="Times New Roman" w:eastAsia="Times New Roman" w:hAnsi="Times New Roman"/>
          <w:b w:val="false"/>
          <w:bCs w:val="false"/>
          <w:i w:val="false"/>
          <w:iCs w:val="false"/>
          <w:sz w:val="24"/>
          <w:szCs w:val="24"/>
        </w:rPr>
        <w:t xml:space="preserve">This Independent Contractor Agreement (the "</w:t>
      </w:r>
      <w:r>
        <w:rPr>
          <w:rFonts w:ascii="Times New Roman" w:cs="Times New Roman" w:eastAsia="Times New Roman" w:hAnsi="Times New Roman"/>
          <w:b w:val="false"/>
          <w:bCs w:val="false"/>
          <w:i w:val="false"/>
          <w:iCs w:val="false"/>
          <w:sz w:val="24"/>
          <w:szCs w:val="24"/>
          <w:u w:val="single"/>
        </w:rPr>
        <w:t xml:space="preserve">Agreement</w:t>
      </w:r>
      <w:r>
        <w:rPr>
          <w:rFonts w:ascii="Times New Roman" w:cs="Times New Roman" w:eastAsia="Times New Roman" w:hAnsi="Times New Roman"/>
          <w:b w:val="false"/>
          <w:bCs w:val="false"/>
          <w:i w:val="false"/>
          <w:iCs w:val="false"/>
          <w:sz w:val="24"/>
          <w:szCs w:val="24"/>
        </w:rPr>
        <w:t xml:space="preserve">") is entered into effective as of ____________ (the "</w:t>
      </w:r>
      <w:r>
        <w:rPr>
          <w:rFonts w:ascii="Times New Roman" w:cs="Times New Roman" w:eastAsia="Times New Roman" w:hAnsi="Times New Roman"/>
          <w:b w:val="false"/>
          <w:bCs w:val="false"/>
          <w:i w:val="false"/>
          <w:iCs w:val="false"/>
          <w:sz w:val="24"/>
          <w:szCs w:val="24"/>
          <w:u w:val="single"/>
        </w:rPr>
        <w:t xml:space="preserve">Effective Date</w:t>
      </w:r>
      <w:r>
        <w:rPr>
          <w:rFonts w:ascii="Times New Roman" w:cs="Times New Roman" w:eastAsia="Times New Roman" w:hAnsi="Times New Roman"/>
          <w:b w:val="false"/>
          <w:bCs w:val="false"/>
          <w:i w:val="false"/>
          <w:iCs w:val="false"/>
          <w:sz w:val="24"/>
          <w:szCs w:val="24"/>
        </w:rPr>
        <w:t xml:space="preserve">") by and between </w:t>
      </w:r>
      <w:r>
        <w:rPr>
          <w:rFonts w:ascii="Times New Roman" w:cs="Times New Roman" w:eastAsia="Times New Roman" w:hAnsi="Times New Roman"/>
          <w:b/>
          <w:bCs/>
          <w:i w:val="false"/>
          <w:iCs w:val="false"/>
          <w:sz w:val="24"/>
          <w:szCs w:val="24"/>
        </w:rPr>
        <w:t xml:space="preserve">JD Marketing LLC DBA Kilo Energy</w:t>
      </w:r>
      <w:r>
        <w:rPr>
          <w:rFonts w:ascii="Times New Roman" w:cs="Times New Roman" w:eastAsia="Times New Roman" w:hAnsi="Times New Roman"/>
          <w:b w:val="false"/>
          <w:bCs w:val="false"/>
          <w:i w:val="false"/>
          <w:iCs w:val="false"/>
          <w:sz w:val="24"/>
          <w:szCs w:val="24"/>
        </w:rPr>
        <w:t xml:space="preserve"> (the "</w:t>
      </w:r>
      <w:r>
        <w:rPr>
          <w:rFonts w:ascii="Times New Roman" w:cs="Times New Roman" w:eastAsia="Times New Roman" w:hAnsi="Times New Roman"/>
          <w:b w:val="false"/>
          <w:bCs w:val="false"/>
          <w:i w:val="false"/>
          <w:iCs w:val="false"/>
          <w:sz w:val="24"/>
          <w:szCs w:val="24"/>
          <w:u w:val="single"/>
        </w:rPr>
        <w:t xml:space="preserve">Company</w:t>
      </w:r>
      <w:r>
        <w:rPr>
          <w:rFonts w:ascii="Times New Roman" w:cs="Times New Roman" w:eastAsia="Times New Roman" w:hAnsi="Times New Roman"/>
          <w:b w:val="false"/>
          <w:bCs w:val="false"/>
          <w:i w:val="false"/>
          <w:iCs w:val="false"/>
          <w:sz w:val="24"/>
          <w:szCs w:val="24"/>
        </w:rPr>
        <w:t xml:space="preserve">"), a limited liability company organized under the laws of the State of Utah with a principal place of business at 723 North 540 East, Mapleton, UT 84664, and ____________ (the "</w:t>
      </w:r>
      <w:r>
        <w:rPr>
          <w:rFonts w:ascii="Times New Roman" w:cs="Times New Roman" w:eastAsia="Times New Roman" w:hAnsi="Times New Roman"/>
          <w:b w:val="false"/>
          <w:bCs w:val="false"/>
          <w:i w:val="false"/>
          <w:iCs w:val="false"/>
          <w:sz w:val="24"/>
          <w:szCs w:val="24"/>
          <w:u w:val="single"/>
        </w:rPr>
        <w:t xml:space="preserve">Contractor</w:t>
      </w:r>
      <w:r>
        <w:rPr>
          <w:rFonts w:ascii="Times New Roman" w:cs="Times New Roman" w:eastAsia="Times New Roman" w:hAnsi="Times New Roman"/>
          <w:b w:val="false"/>
          <w:bCs w:val="false"/>
          <w:i w:val="false"/>
          <w:iCs w:val="false"/>
          <w:sz w:val="24"/>
          <w:szCs w:val="24"/>
        </w:rPr>
        <w:t xml:space="preserve">"). Company and Contractor are each a "</w:t>
      </w:r>
      <w:r>
        <w:rPr>
          <w:rFonts w:ascii="Times New Roman" w:cs="Times New Roman" w:eastAsia="Times New Roman" w:hAnsi="Times New Roman"/>
          <w:b w:val="false"/>
          <w:bCs w:val="false"/>
          <w:i w:val="false"/>
          <w:iCs w:val="false"/>
          <w:sz w:val="24"/>
          <w:szCs w:val="24"/>
          <w:u w:val="single"/>
        </w:rPr>
        <w:t xml:space="preserve">Party</w:t>
      </w:r>
      <w:r>
        <w:rPr>
          <w:rFonts w:ascii="Times New Roman" w:cs="Times New Roman" w:eastAsia="Times New Roman" w:hAnsi="Times New Roman"/>
          <w:b w:val="false"/>
          <w:bCs w:val="false"/>
          <w:i w:val="false"/>
          <w:iCs w:val="false"/>
          <w:sz w:val="24"/>
          <w:szCs w:val="24"/>
        </w:rPr>
        <w:t xml:space="preserve">" and together the "</w:t>
      </w:r>
      <w:r>
        <w:rPr>
          <w:rFonts w:ascii="Times New Roman" w:cs="Times New Roman" w:eastAsia="Times New Roman" w:hAnsi="Times New Roman"/>
          <w:b w:val="false"/>
          <w:bCs w:val="false"/>
          <w:i w:val="false"/>
          <w:iCs w:val="false"/>
          <w:sz w:val="24"/>
          <w:szCs w:val="24"/>
          <w:u w:val="single"/>
        </w:rPr>
        <w:t xml:space="preserve">Parties</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bCs/>
          <w:i/>
          <w:iCs/>
          <w:color w:val="C00000"/>
          <w:sz w:val="22"/>
          <w:szCs w:val="22"/>
        </w:rPr>
        <w:t xml:space="preserve"> [REVIEW: Confirm Effective Date convention — counterparts execution date vs. specific calendar date.]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Background</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markets and sells residential solar, battery storage, and related energy products through a network of authorized installation partners. Company engages independent sales contractors to identify Customers, present Company-approved offerings, and submit deals through Company's commission application. Company does not itself perform installation; the assigned installer holds the homeowner contract and performs the installation work.</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Contractor wishes to provide sales services to Company on the independent-contractor terms set forth in this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A. </w:t>
      </w:r>
      <w:r>
        <w:rPr>
          <w:rFonts w:ascii="Times New Roman" w:cs="Times New Roman" w:eastAsia="Times New Roman" w:hAnsi="Times New Roman"/>
          <w:b w:val="false"/>
          <w:bCs w:val="false"/>
          <w:i w:val="false"/>
          <w:iCs w:val="false"/>
          <w:sz w:val="24"/>
          <w:szCs w:val="24"/>
          <w:u w:val="single"/>
        </w:rPr>
        <w:t xml:space="preserve">Definitions</w:t>
      </w:r>
      <w:r>
        <w:rPr>
          <w:rFonts w:ascii="Times New Roman" w:cs="Times New Roman" w:eastAsia="Times New Roman" w:hAnsi="Times New Roman"/>
          <w:b w:val="false"/>
          <w:bCs w:val="false"/>
          <w:i w:val="false"/>
          <w:iCs w:val="false"/>
          <w:sz w:val="24"/>
          <w:szCs w:val="24"/>
        </w:rPr>
        <w:t xml:space="preserve">. The following capitalized terms have the following meanings in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"Agreement"</w:t>
      </w:r>
      <w:r>
        <w:rPr>
          <w:rFonts w:ascii="Times New Roman" w:cs="Times New Roman" w:eastAsia="Times New Roman" w:hAnsi="Times New Roman"/>
          <w:b w:val="false"/>
          <w:bCs w:val="false"/>
          <w:i w:val="false"/>
          <w:iCs w:val="false"/>
          <w:sz w:val="24"/>
          <w:szCs w:val="24"/>
        </w:rPr>
        <w:t xml:space="preserve"> means this Independent Contractor Agreement, including its exhibits, as amended from time to time.</w:t>
      </w:r>
    </w:p>
    <w:p>
      <w:pPr>
        <w:spacing w:after="60" w:before="60" w:line="280"/>
        <w:ind w:left="720"/>
        <w:jc w:val="both"/>
      </w:pPr>
      <w:r>
        <w:rPr>
          <w:rFonts w:ascii="Times New Roman" w:cs="Times New Roman" w:eastAsia="Times New Roman" w:hAnsi="Times New Roman"/>
          <w:b/>
          <w:bCs/>
          <w:i w:val="false"/>
          <w:iCs w:val="false"/>
          <w:sz w:val="24"/>
          <w:szCs w:val="24"/>
        </w:rPr>
        <w:t xml:space="preserve">"Area" or "Sales Area"</w:t>
      </w:r>
      <w:r>
        <w:rPr>
          <w:rFonts w:ascii="Times New Roman" w:cs="Times New Roman" w:eastAsia="Times New Roman" w:hAnsi="Times New Roman"/>
          <w:b w:val="false"/>
          <w:bCs w:val="false"/>
          <w:i w:val="false"/>
          <w:iCs w:val="false"/>
          <w:sz w:val="24"/>
          <w:szCs w:val="24"/>
        </w:rPr>
        <w:t xml:space="preserve"> means the geographic area in which Company has authorized Contractor to perform the Services, as Company may designate or modify in writing from time to time.</w:t>
      </w:r>
    </w:p>
    <w:p>
      <w:pPr>
        <w:spacing w:after="60" w:before="60" w:line="280"/>
        <w:ind w:left="720"/>
        <w:jc w:val="both"/>
      </w:pPr>
      <w:r>
        <w:rPr>
          <w:rFonts w:ascii="Times New Roman" w:cs="Times New Roman" w:eastAsia="Times New Roman" w:hAnsi="Times New Roman"/>
          <w:b/>
          <w:bCs/>
          <w:i w:val="false"/>
          <w:iCs w:val="false"/>
          <w:sz w:val="24"/>
          <w:szCs w:val="24"/>
        </w:rPr>
        <w:t xml:space="preserve">"Closer Baseline"</w:t>
      </w:r>
      <w:r>
        <w:rPr>
          <w:rFonts w:ascii="Times New Roman" w:cs="Times New Roman" w:eastAsia="Times New Roman" w:hAnsi="Times New Roman"/>
          <w:b w:val="false"/>
          <w:bCs w:val="false"/>
          <w:i w:val="false"/>
          <w:iCs w:val="false"/>
          <w:sz w:val="24"/>
          <w:szCs w:val="24"/>
        </w:rPr>
        <w:t xml:space="preserve"> means the per-Installer per-watt rate configured in the Commission Application below which the closer earns no commission on a Deal. The Closer Baseline is typically $0.10 per watt below the Setter Baseline for the same Installer and kW band.</w:t>
      </w:r>
    </w:p>
    <w:p>
      <w:pPr>
        <w:spacing w:after="60" w:before="60" w:line="280"/>
        <w:ind w:left="720"/>
        <w:jc w:val="both"/>
      </w:pPr>
      <w:r>
        <w:rPr>
          <w:rFonts w:ascii="Times New Roman" w:cs="Times New Roman" w:eastAsia="Times New Roman" w:hAnsi="Times New Roman"/>
          <w:b/>
          <w:bCs/>
          <w:i w:val="false"/>
          <w:iCs w:val="false"/>
          <w:sz w:val="24"/>
          <w:szCs w:val="24"/>
        </w:rPr>
        <w:t xml:space="preserve">"Commission Application"</w:t>
      </w:r>
      <w:r>
        <w:rPr>
          <w:rFonts w:ascii="Times New Roman" w:cs="Times New Roman" w:eastAsia="Times New Roman" w:hAnsi="Times New Roman"/>
          <w:b w:val="false"/>
          <w:bCs w:val="false"/>
          <w:i w:val="false"/>
          <w:iCs w:val="false"/>
          <w:sz w:val="24"/>
          <w:szCs w:val="24"/>
        </w:rPr>
        <w:t xml:space="preserve"> means Company's internal web application (currently at app.kiloenergies.com) where Contractor submits Deals, runs the in-app calculator that prices each Deal at submission, and views Deal status, milestone payouts, and reimbursement requests on the rep-facing pages. Per-installer rate configuration is admin-only; Contractor interacts with the Pay Scale rates indirectly, through the calculator's pricing of submitted Deals and through the milestone amounts displayed on the rep-facing My Pay page.</w:t>
      </w:r>
    </w:p>
    <w:p>
      <w:pPr>
        <w:spacing w:after="60" w:before="60" w:line="280"/>
        <w:ind w:left="720"/>
        <w:jc w:val="both"/>
      </w:pPr>
      <w:r>
        <w:rPr>
          <w:rFonts w:ascii="Times New Roman" w:cs="Times New Roman" w:eastAsia="Times New Roman" w:hAnsi="Times New Roman"/>
          <w:b/>
          <w:bCs/>
          <w:i w:val="false"/>
          <w:iCs w:val="false"/>
          <w:sz w:val="24"/>
          <w:szCs w:val="24"/>
        </w:rPr>
        <w:t xml:space="preserve">"Confidential Information"</w:t>
      </w:r>
      <w:r>
        <w:rPr>
          <w:rFonts w:ascii="Times New Roman" w:cs="Times New Roman" w:eastAsia="Times New Roman" w:hAnsi="Times New Roman"/>
          <w:b w:val="false"/>
          <w:bCs w:val="false"/>
          <w:i w:val="false"/>
          <w:iCs w:val="false"/>
          <w:sz w:val="24"/>
          <w:szCs w:val="24"/>
        </w:rPr>
        <w:t xml:space="preserve"> means all non-public information of Company, whether written, oral, electronic, or visual, including without limitation: business plans, pricing (including per-installer wholesale or "redline" pricing), customer and lead lists, customer contracts, customer-provided information, financial data, marketing strategies, the Commission Application and its data, software, processes, methods, designs, Trade Secrets, and any information identified as confidential or that a reasonable person would understand to be confidential. Confidential Information does not include information that (a) is or becomes publicly known through no fault of Contractor; (b) was lawfully in Contractor's possession prior to disclosure by Company without confidentiality obligation; or (c) is independently developed by Contractor without use of Confidential Information.</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w:t>
      </w:r>
      <w:r>
        <w:rPr>
          <w:rFonts w:ascii="Times New Roman" w:cs="Times New Roman" w:eastAsia="Times New Roman" w:hAnsi="Times New Roman"/>
          <w:b w:val="false"/>
          <w:bCs w:val="false"/>
          <w:i w:val="false"/>
          <w:iCs w:val="false"/>
          <w:sz w:val="24"/>
          <w:szCs w:val="24"/>
        </w:rPr>
        <w:t xml:space="preserve"> means any person or entity who has signed, or is being solicited to sign, a Customer Contract, including any lead provided by Company or developed by Contractor while engaged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 Contract"</w:t>
      </w:r>
      <w:r>
        <w:rPr>
          <w:rFonts w:ascii="Times New Roman" w:cs="Times New Roman" w:eastAsia="Times New Roman" w:hAnsi="Times New Roman"/>
          <w:b w:val="false"/>
          <w:bCs w:val="false"/>
          <w:i w:val="false"/>
          <w:iCs w:val="false"/>
          <w:sz w:val="24"/>
          <w:szCs w:val="24"/>
        </w:rPr>
        <w:t xml:space="preserve"> means an installer's residential solar, battery storage, or energy-product purchase, lease, loan, or power purchase agreement signed by a Customer in connection with a deal submitted by Contractor through the Commission Application.</w:t>
      </w:r>
    </w:p>
    <w:p>
      <w:pPr>
        <w:spacing w:after="60" w:before="60" w:line="280"/>
        <w:ind w:left="720"/>
        <w:jc w:val="both"/>
      </w:pPr>
      <w:r>
        <w:rPr>
          <w:rFonts w:ascii="Times New Roman" w:cs="Times New Roman" w:eastAsia="Times New Roman" w:hAnsi="Times New Roman"/>
          <w:b/>
          <w:bCs/>
          <w:i w:val="false"/>
          <w:iCs w:val="false"/>
          <w:sz w:val="24"/>
          <w:szCs w:val="24"/>
        </w:rPr>
        <w:t xml:space="preserve">"Deal"</w:t>
      </w:r>
      <w:r>
        <w:rPr>
          <w:rFonts w:ascii="Times New Roman" w:cs="Times New Roman" w:eastAsia="Times New Roman" w:hAnsi="Times New Roman"/>
          <w:b w:val="false"/>
          <w:bCs w:val="false"/>
          <w:i w:val="false"/>
          <w:iCs w:val="false"/>
          <w:sz w:val="24"/>
          <w:szCs w:val="24"/>
        </w:rPr>
        <w:t xml:space="preserve"> means a single Customer Contract submitted by Contractor through the Commission Application and accepted by Company.</w:t>
      </w:r>
    </w:p>
    <w:p>
      <w:pPr>
        <w:spacing w:after="60" w:before="60" w:line="280"/>
        <w:ind w:left="720"/>
        <w:jc w:val="both"/>
      </w:pPr>
      <w:r>
        <w:rPr>
          <w:rFonts w:ascii="Times New Roman" w:cs="Times New Roman" w:eastAsia="Times New Roman" w:hAnsi="Times New Roman"/>
          <w:b/>
          <w:bCs/>
          <w:i w:val="false"/>
          <w:iCs w:val="false"/>
          <w:sz w:val="24"/>
          <w:szCs w:val="24"/>
        </w:rPr>
        <w:t xml:space="preserve">"Good Standing"</w:t>
      </w:r>
      <w:r>
        <w:rPr>
          <w:rFonts w:ascii="Times New Roman" w:cs="Times New Roman" w:eastAsia="Times New Roman" w:hAnsi="Times New Roman"/>
          <w:b w:val="false"/>
          <w:bCs w:val="false"/>
          <w:i w:val="false"/>
          <w:iCs w:val="false"/>
          <w:sz w:val="24"/>
          <w:szCs w:val="24"/>
        </w:rPr>
        <w:t xml:space="preserve"> means a Customer Contract for which (i) all paperwork is approved, (ii) the design is completed, (iii) any change orders have been resolved, and (iv) there are no outstanding unresolved issues with the Customer or the assigned installer.</w:t>
      </w:r>
    </w:p>
    <w:p>
      <w:pPr>
        <w:spacing w:after="60" w:before="60" w:line="280"/>
        <w:ind w:left="720"/>
        <w:jc w:val="both"/>
      </w:pPr>
      <w:r>
        <w:rPr>
          <w:rFonts w:ascii="Times New Roman" w:cs="Times New Roman" w:eastAsia="Times New Roman" w:hAnsi="Times New Roman"/>
          <w:b/>
          <w:bCs/>
          <w:i w:val="false"/>
          <w:iCs w:val="false"/>
          <w:sz w:val="24"/>
          <w:szCs w:val="24"/>
        </w:rPr>
        <w:t xml:space="preserve">"Installer"</w:t>
      </w:r>
      <w:r>
        <w:rPr>
          <w:rFonts w:ascii="Times New Roman" w:cs="Times New Roman" w:eastAsia="Times New Roman" w:hAnsi="Times New Roman"/>
          <w:b w:val="false"/>
          <w:bCs w:val="false"/>
          <w:i w:val="false"/>
          <w:iCs w:val="false"/>
          <w:sz w:val="24"/>
          <w:szCs w:val="24"/>
        </w:rPr>
        <w:t xml:space="preserve"> means a third-party installation partner Company has engaged to fulfill Customer Contracts. Company may add, remove, or change Installers in its discretion.</w:t>
      </w:r>
    </w:p>
    <w:p>
      <w:pPr>
        <w:spacing w:after="60" w:before="60" w:line="280"/>
        <w:ind w:left="720"/>
        <w:jc w:val="both"/>
      </w:pPr>
      <w:r>
        <w:rPr>
          <w:rFonts w:ascii="Times New Roman" w:cs="Times New Roman" w:eastAsia="Times New Roman" w:hAnsi="Times New Roman"/>
          <w:b/>
          <w:bCs/>
          <w:i w:val="false"/>
          <w:iCs w:val="false"/>
          <w:sz w:val="24"/>
          <w:szCs w:val="24"/>
        </w:rPr>
        <w:t xml:space="preserve">"Intellectual Property"</w:t>
      </w:r>
      <w:r>
        <w:rPr>
          <w:rFonts w:ascii="Times New Roman" w:cs="Times New Roman" w:eastAsia="Times New Roman" w:hAnsi="Times New Roman"/>
          <w:b w:val="false"/>
          <w:bCs w:val="false"/>
          <w:i w:val="false"/>
          <w:iCs w:val="false"/>
          <w:sz w:val="24"/>
          <w:szCs w:val="24"/>
        </w:rPr>
        <w:t xml:space="preserve"> means all patents, copyrights, trademarks, trade secrets, know-how, software, and other proprietary rights owned or developed by Company or its affiliates, including without limitation rights in and to the Commission Application, Customer Contract forms, intake forms, training materials, and marketing assets.</w:t>
      </w:r>
    </w:p>
    <w:p>
      <w:pPr>
        <w:spacing w:after="60" w:before="60" w:line="280"/>
        <w:ind w:left="720"/>
        <w:jc w:val="both"/>
      </w:pPr>
      <w:r>
        <w:rPr>
          <w:rFonts w:ascii="Times New Roman" w:cs="Times New Roman" w:eastAsia="Times New Roman" w:hAnsi="Times New Roman"/>
          <w:b/>
          <w:bCs/>
          <w:i w:val="false"/>
          <w:iCs w:val="false"/>
          <w:sz w:val="24"/>
          <w:szCs w:val="24"/>
        </w:rPr>
        <w:t xml:space="preserve">"Pay Scale"</w:t>
      </w:r>
      <w:r>
        <w:rPr>
          <w:rFonts w:ascii="Times New Roman" w:cs="Times New Roman" w:eastAsia="Times New Roman" w:hAnsi="Times New Roman"/>
          <w:b w:val="false"/>
          <w:bCs w:val="false"/>
          <w:i w:val="false"/>
          <w:iCs w:val="false"/>
          <w:sz w:val="24"/>
          <w:szCs w:val="24"/>
        </w:rPr>
        <w:t xml:space="preserve"> means the per-Installer Closer Baseline rates, Setter Baseline rates, milestone allocations, and related compensation rules configured in the Commission Application. The rates in effect on a Deal's sold date are applied to that Deal through the in-app calculator and snapshotted to the Deal record. Company may revise the Pay Scale prospectively at any time; revisions apply only to Deals sold on or after the revision's effective date.</w:t>
      </w:r>
    </w:p>
    <w:p>
      <w:pPr>
        <w:spacing w:after="60" w:before="60" w:line="280"/>
        <w:ind w:left="720"/>
        <w:jc w:val="both"/>
      </w:pPr>
      <w:r>
        <w:rPr>
          <w:rFonts w:ascii="Times New Roman" w:cs="Times New Roman" w:eastAsia="Times New Roman" w:hAnsi="Times New Roman"/>
          <w:b/>
          <w:bCs/>
          <w:i w:val="false"/>
          <w:iCs w:val="false"/>
          <w:sz w:val="24"/>
          <w:szCs w:val="24"/>
        </w:rPr>
        <w:t xml:space="preserve">"PTO"</w:t>
      </w:r>
      <w:r>
        <w:rPr>
          <w:rFonts w:ascii="Times New Roman" w:cs="Times New Roman" w:eastAsia="Times New Roman" w:hAnsi="Times New Roman"/>
          <w:b w:val="false"/>
          <w:bCs w:val="false"/>
          <w:i w:val="false"/>
          <w:iCs w:val="false"/>
          <w:sz w:val="24"/>
          <w:szCs w:val="24"/>
        </w:rPr>
        <w:t xml:space="preserve"> means "permission to operate" granted by the applicable utility, allowing the installed system to be activated. PTO timing is controlled by the utility and the Installer, not Company.</w:t>
      </w:r>
    </w:p>
    <w:p>
      <w:pPr>
        <w:spacing w:after="60" w:before="60" w:line="280"/>
        <w:ind w:left="720"/>
        <w:jc w:val="both"/>
      </w:pPr>
      <w:r>
        <w:rPr>
          <w:rFonts w:ascii="Times New Roman" w:cs="Times New Roman" w:eastAsia="Times New Roman" w:hAnsi="Times New Roman"/>
          <w:b/>
          <w:bCs/>
          <w:i w:val="false"/>
          <w:iCs w:val="false"/>
          <w:sz w:val="24"/>
          <w:szCs w:val="24"/>
        </w:rPr>
        <w:t xml:space="preserve">"Sales Term"</w:t>
      </w:r>
      <w:r>
        <w:rPr>
          <w:rFonts w:ascii="Times New Roman" w:cs="Times New Roman" w:eastAsia="Times New Roman" w:hAnsi="Times New Roman"/>
          <w:b w:val="false"/>
          <w:bCs w:val="false"/>
          <w:i w:val="false"/>
          <w:iCs w:val="false"/>
          <w:sz w:val="24"/>
          <w:szCs w:val="24"/>
        </w:rPr>
        <w:t xml:space="preserve"> means the period beginning on the Effective Date and continuing until terminated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"Services"</w:t>
      </w:r>
      <w:r>
        <w:rPr>
          <w:rFonts w:ascii="Times New Roman" w:cs="Times New Roman" w:eastAsia="Times New Roman" w:hAnsi="Times New Roman"/>
          <w:b w:val="false"/>
          <w:bCs w:val="false"/>
          <w:i w:val="false"/>
          <w:iCs w:val="false"/>
          <w:sz w:val="24"/>
          <w:szCs w:val="24"/>
        </w:rPr>
        <w:t xml:space="preserve"> means the sales, lead-generation, intake, and Customer-care services Contractor performs for Company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"Setter Baseline"</w:t>
      </w:r>
      <w:r>
        <w:rPr>
          <w:rFonts w:ascii="Times New Roman" w:cs="Times New Roman" w:eastAsia="Times New Roman" w:hAnsi="Times New Roman"/>
          <w:b w:val="false"/>
          <w:bCs w:val="false"/>
          <w:i w:val="false"/>
          <w:iCs w:val="false"/>
          <w:sz w:val="24"/>
          <w:szCs w:val="24"/>
        </w:rPr>
        <w:t xml:space="preserve"> means the per-Installer per-watt rate configured in the Commission Application that fixes the setter's compensation reference and the start of the 50/50 above-split. The Setter Baseline is typically $0.10 per watt above the Closer Baseline for the same Installer and kW band.</w:t>
      </w:r>
    </w:p>
    <w:p>
      <w:pPr>
        <w:spacing w:after="60" w:before="60" w:line="280"/>
        <w:ind w:left="720"/>
        <w:jc w:val="both"/>
      </w:pPr>
      <w:r>
        <w:rPr>
          <w:rFonts w:ascii="Times New Roman" w:cs="Times New Roman" w:eastAsia="Times New Roman" w:hAnsi="Times New Roman"/>
          <w:b/>
          <w:bCs/>
          <w:i w:val="false"/>
          <w:iCs w:val="false"/>
          <w:sz w:val="24"/>
          <w:szCs w:val="24"/>
        </w:rPr>
        <w:t xml:space="preserve">"Trade Secrets"</w:t>
      </w:r>
      <w:r>
        <w:rPr>
          <w:rFonts w:ascii="Times New Roman" w:cs="Times New Roman" w:eastAsia="Times New Roman" w:hAnsi="Times New Roman"/>
          <w:b w:val="false"/>
          <w:bCs w:val="false"/>
          <w:i w:val="false"/>
          <w:iCs w:val="false"/>
          <w:sz w:val="24"/>
          <w:szCs w:val="24"/>
        </w:rPr>
        <w:t xml:space="preserve"> means information that derives independent economic value from not being generally known and is the subject of reasonable efforts by Company to maintain its secrecy.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B. </w:t>
      </w:r>
      <w:r>
        <w:rPr>
          <w:rFonts w:ascii="Times New Roman" w:cs="Times New Roman" w:eastAsia="Times New Roman" w:hAnsi="Times New Roman"/>
          <w:b w:val="false"/>
          <w:bCs w:val="false"/>
          <w:i w:val="false"/>
          <w:iCs w:val="false"/>
          <w:sz w:val="24"/>
          <w:szCs w:val="24"/>
          <w:u w:val="single"/>
        </w:rPr>
        <w:t xml:space="preserve">Conditions Precedent, Appointment and Term</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bCs/>
          <w:i w:val="false"/>
          <w:iCs w:val="false"/>
          <w:sz w:val="24"/>
          <w:szCs w:val="24"/>
        </w:rPr>
        <w:t xml:space="preserve">B.1 </w:t>
      </w:r>
      <w:r>
        <w:rPr>
          <w:rFonts w:ascii="Times New Roman" w:cs="Times New Roman" w:eastAsia="Times New Roman" w:hAnsi="Times New Roman"/>
          <w:b w:val="false"/>
          <w:bCs w:val="false"/>
          <w:i/>
          <w:iCs/>
          <w:sz w:val="24"/>
          <w:szCs w:val="24"/>
          <w:u w:val="single"/>
        </w:rPr>
        <w:t xml:space="preserve">Conditions Precedent.  </w:t>
      </w:r>
      <w:r>
        <w:rPr>
          <w:rFonts w:ascii="Times New Roman" w:cs="Times New Roman" w:eastAsia="Times New Roman" w:hAnsi="Times New Roman"/>
          <w:b w:val="false"/>
          <w:bCs w:val="false"/>
          <w:i w:val="false"/>
          <w:iCs w:val="false"/>
          <w:sz w:val="24"/>
          <w:szCs w:val="24"/>
        </w:rPr>
        <w:t xml:space="preserve">Neither this Agreement nor any obligation of Company shall be effective until each of the following has been satisfied by Contractor: (i) Company has approved the Sales Area in which Contractor will perform the Services; (ii) Contractor has provided evidence of all licenses, registrations, permits, and approvals required by any federal, state, or local authority for Contractor to perform the Services in the Sales Area, including without limitation Home Improvement Salesperson registration with the California Contractors State License Board ("CSLB HIS") if Contractor will solicit residential customers in California, and any analogous registration in any other state; (iii) Contractor has provided all documentation reasonably requested by Company; (iv) each representation and warranty of Contractor in this Agreement is true and correct; (v) Contractor has executed this Agreement; (vi) Contractor has executed an authorization for a background check; (vii) Company has received a background check satisfactory to Company; and (viii) Contractor has executed a current IRS Form W-9. Any compensation owed to Contractor is contingent on prior satisfaction of each Condition Precedent.</w:t>
      </w:r>
    </w:p>
    <w:p>
      <w:pPr>
        <w:spacing w:after="60" w:before="60" w:line="280"/>
        <w:jc w:val="both"/>
      </w:pPr>
      <w:r>
        <w:rPr>
          <w:rFonts w:ascii="Times New Roman" w:cs="Times New Roman" w:eastAsia="Times New Roman" w:hAnsi="Times New Roman"/>
          <w:b/>
          <w:bCs/>
          <w:i w:val="false"/>
          <w:iCs w:val="false"/>
          <w:sz w:val="24"/>
          <w:szCs w:val="24"/>
        </w:rPr>
        <w:t xml:space="preserve">B.2 </w:t>
      </w:r>
      <w:r>
        <w:rPr>
          <w:rFonts w:ascii="Times New Roman" w:cs="Times New Roman" w:eastAsia="Times New Roman" w:hAnsi="Times New Roman"/>
          <w:b w:val="false"/>
          <w:bCs w:val="false"/>
          <w:i/>
          <w:iCs/>
          <w:sz w:val="24"/>
          <w:szCs w:val="24"/>
          <w:u w:val="single"/>
        </w:rPr>
        <w:t xml:space="preserve">Appointment.  </w:t>
      </w:r>
      <w:r>
        <w:rPr>
          <w:rFonts w:ascii="Times New Roman" w:cs="Times New Roman" w:eastAsia="Times New Roman" w:hAnsi="Times New Roman"/>
          <w:b w:val="false"/>
          <w:bCs w:val="false"/>
          <w:i w:val="false"/>
          <w:iCs w:val="false"/>
          <w:sz w:val="24"/>
          <w:szCs w:val="24"/>
        </w:rPr>
        <w:t xml:space="preserve">Subject to compliance with the Conditions Precedent and the other terms of this Agreement (including the Channel Exclusivity in Section 15), Company engages Contractor as an independent-contractor sales representative to market and sell solar, battery storage, and related energy products on behalf of Company in the Area.</w:t>
      </w:r>
    </w:p>
    <w:p>
      <w:pPr>
        <w:spacing w:after="60" w:before="60" w:line="280"/>
        <w:jc w:val="both"/>
      </w:pPr>
      <w:r>
        <w:rPr>
          <w:rFonts w:ascii="Times New Roman" w:cs="Times New Roman" w:eastAsia="Times New Roman" w:hAnsi="Times New Roman"/>
          <w:b/>
          <w:bCs/>
          <w:i w:val="false"/>
          <w:iCs w:val="false"/>
          <w:sz w:val="24"/>
          <w:szCs w:val="24"/>
        </w:rPr>
        <w:t xml:space="preserve">B.3 </w:t>
      </w:r>
      <w:r>
        <w:rPr>
          <w:rFonts w:ascii="Times New Roman" w:cs="Times New Roman" w:eastAsia="Times New Roman" w:hAnsi="Times New Roman"/>
          <w:b w:val="false"/>
          <w:bCs w:val="false"/>
          <w:i/>
          <w:iCs/>
          <w:sz w:val="24"/>
          <w:szCs w:val="24"/>
          <w:u w:val="single"/>
        </w:rPr>
        <w:t xml:space="preserve">Term.  </w:t>
      </w:r>
      <w:r>
        <w:rPr>
          <w:rFonts w:ascii="Times New Roman" w:cs="Times New Roman" w:eastAsia="Times New Roman" w:hAnsi="Times New Roman"/>
          <w:b w:val="false"/>
          <w:bCs w:val="false"/>
          <w:i w:val="false"/>
          <w:iCs w:val="false"/>
          <w:sz w:val="24"/>
          <w:szCs w:val="24"/>
        </w:rPr>
        <w:t xml:space="preserve">The Sales Term begins on the Effective Date and continues until terminated under Section 13. Either Party may terminate as provided in Section 13.</w:t>
      </w:r>
    </w:p>
    <w:p>
      <w:pPr>
        <w:spacing w:after="60" w:before="60" w:line="280"/>
        <w:jc w:val="both"/>
      </w:pPr>
      <w:r>
        <w:rPr>
          <w:rFonts w:ascii="Times New Roman" w:cs="Times New Roman" w:eastAsia="Times New Roman" w:hAnsi="Times New Roman"/>
          <w:b/>
          <w:bCs/>
          <w:i w:val="false"/>
          <w:iCs w:val="false"/>
          <w:sz w:val="24"/>
          <w:szCs w:val="24"/>
        </w:rPr>
        <w:t xml:space="preserve">B.4 </w:t>
      </w:r>
      <w:r>
        <w:rPr>
          <w:rFonts w:ascii="Times New Roman" w:cs="Times New Roman" w:eastAsia="Times New Roman" w:hAnsi="Times New Roman"/>
          <w:b w:val="false"/>
          <w:bCs w:val="false"/>
          <w:i/>
          <w:iCs/>
          <w:sz w:val="24"/>
          <w:szCs w:val="24"/>
          <w:u w:val="single"/>
        </w:rPr>
        <w:t xml:space="preserve">Representations and Acknowledgements.  </w:t>
      </w:r>
      <w:r>
        <w:rPr>
          <w:rFonts w:ascii="Times New Roman" w:cs="Times New Roman" w:eastAsia="Times New Roman" w:hAnsi="Times New Roman"/>
          <w:b w:val="false"/>
          <w:bCs w:val="false"/>
          <w:i w:val="false"/>
          <w:iCs w:val="false"/>
          <w:sz w:val="24"/>
          <w:szCs w:val="24"/>
        </w:rPr>
        <w:t xml:space="preserve">By executing this Agreement, Contractor represents and warrants that: (a) all Conditions Precedent have been satisfied; (b) Contractor has not been convicted of a felony or any misdemeanor crime of moral turpitude; (c) Contractor has provided truthful responses to all questions and information requested by Company; and (d) Contractor has the experience, qualifications, and capacity to perform the Services as an independent 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u w:val="single"/>
        </w:rPr>
        <w:t xml:space="preserve">Engagement; Services and Work Orders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Company engages Contractor to identify prospective Customers, present Company-approved solar, battery storage, and related energy product offerings, complete intake documentation through the Commission Application, and provide post-sale Customer support as reasonably requested. Contractor will become familiar with the Customer Contract forms used by each authorized Installer and will deliver the Services consistent with Exhibit B (White Glove Service Standards — Code of Conduct) and applicable law.</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Multi-Installer Engagement. Company markets and sells through a network of Installers. Contractor may be authorized by Company to sell on behalf of one or more Installers. Each Installer's pricing, payment timing (including the percentage of milestone payments due at install versus PTO), required intake fields, and chargeback policy are configured in the Commission Application and may be updated by Company from time to time. The Installer (not Company) holds the Customer Contract and performs the installation; Contractor will not represent otherwise to any Customer.</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Handoff. On submission of each Deal, Company will share Customer-provided information (which may include the Customer's name, address, phone number, email address, utility-bill image, intake responses, and project notes) with the assigned Installer for project execution. Contractor warrants that, before submitting any Deal, Contractor will advise the Customer that the Customer's information will be shared with the assigned Installer and will obtain the Customer's consent to that sharing.</w:t>
      </w:r>
      <w:r>
        <w:rPr>
          <w:rFonts w:ascii="Times New Roman" w:cs="Times New Roman" w:eastAsia="Times New Roman" w:hAnsi="Times New Roman"/>
          <w:b/>
          <w:bCs/>
          <w:i/>
          <w:iCs/>
          <w:color w:val="C00000"/>
          <w:sz w:val="22"/>
          <w:szCs w:val="22"/>
        </w:rPr>
        <w:t xml:space="preserve"> [REVIEW: PII handoff consent — confirm with privacy counsel that this matches the Customer-facing intake disclosures; consider per-state addendum (CA CCPA, etc.).]</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Work Orders. From time to time Company may issue work orders, blitz assignments, lead packages, or other written or electronic engagements (each a "Work Order") describing specific Customers, areas to canvass, or campaigns. Each Work Order is incorporated into and governed by this Agreement; in the event of conflict the Agreement controls except where the Work Order expressly states otherwise. Contractor may accept or decline any Work Order in Contractor's sole discretion.</w:t>
      </w:r>
      <w:r>
        <w:rPr>
          <w:rFonts w:ascii="Times New Roman" w:cs="Times New Roman" w:eastAsia="Times New Roman" w:hAnsi="Times New Roman"/>
          <w:b/>
          <w:bCs/>
          <w:i/>
          <w:iCs/>
          <w:color w:val="C00000"/>
          <w:sz w:val="22"/>
          <w:szCs w:val="22"/>
        </w:rPr>
        <w:t xml:space="preserve"> [REVIEW: Removed the original 2-hour acceptance window — its rigidity was an IC-classification risk factor under Borello/ABC. Contractor now has full discretion to accept or decline.]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No Promise of Volume. This Agreement is not a guarantee that Company will issue any Work Order or that Contractor will receive any minimum lead volume, deal volume, or compensation. Company may engage other contractors, some of whom may compete with Contractor.</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Blitz Participation. From time to time Company may organize sales blitzes, including with Company-provided housing, transportation, or meals. Participation is voluntary. Each blitz is governed by the Blitz Terms &amp; Conditions document that Contractor will accept electronically (whether by tapping Accept in the Commission Application or by other electronic means designated by Company) before each blitz; those terms are incorporated by reference into this Agreement for the duration of the relevant blitz.</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u w:val="single"/>
        </w:rPr>
        <w:t xml:space="preserve">Customer Care and Compliance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comply with all applicable laws, including without limitation OSHA, immigration (U.S. Form I-9 obligations applicable to Contractor's own personnel), federal and state consumer protection law, the Telephone Consumer Protection Act, the FTC Act, applicable do-not-call and door-to-door solicitation rules, the California Solar Energy Systems Act and Home Improvement Salesperson rules where applicable, and the licensing and registration laws of every state in which Contractor solicits Customers.</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take reasonable care not to damage Customer property and will abide by the White Glove Service Standards in Exhibit B.</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u w:val="single"/>
        </w:rPr>
        <w:t xml:space="preserve">Compensation; Chargebacks; Offset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Pay Scale. Contractor's compensation on each Deal is determined by the Pay Scale in effect on that Deal's sold date and the role assigned to Contractor on that Deal (closer or setter), as recorded in the Commission Application. The Pay Scale and its mechanics are described in Exhibit A. Company may revise the Pay Scale prospectively at any time by updating the per-installer rates configured in the Commission Application; Deals sold on or after the revision's effective date will price at the revised rates through the in-app calculator, and Deals sold before that date will continue to use the prior rates snapshotted to those Deals.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Structure. Compensation on each eligible Deal is paid in up to three milestones (M1, M2, M3) as follows: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One ("M1") — A flat advance against Contractor's total commission on the Deal, in an amount determined by the Pay Scale ($1,000 if system size is 5 kW or greater; $500 if less than 5 kW, as of the Effective Date). M1 is earned upon advancement to the "Acceptance" phase per Company's then-current project pipeline policy as reflected in the Commission Application. On a paired Deal (closer plus setter), M1 is paid 100% to the setter; the closer's first milestone payment on a paired Deal is M2. On a self-generated Deal (closer with no setter), M1 is paid to the closer.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Two ("M2") — Payable on the next regular pay cycle following the later of (a) advancement to the "Installed" phase in the Commission Application and (b) Company's receipt of the corresponding installer funding for the Deal. M2 is the percentage of the closer's and setter's remaining commission (after M1) corresponding to the assigned Installer's install-pay percentage, as configured in the Commission Application.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Three ("M3") — Where the assigned Installer's install-pay percentage is less than 100%, the remainder is paid as M3 upon advancement to the "PTO" phase. Where the install-pay percentage is 100%, no M3 is owed on that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Server-Authoritative Math. The commission amounts displayed for each Deal in the Commission Application are computed by Company's server and are the authoritative amounts owed to Contractor on that Deal. Any inconsistent calculation prepared by Contractor or any third party is not binding on Company. Company maintains an audit log within the Commission Application that records every change to Deal state, milestone transitions, and commission amounts. The audit log is admin-only by design but is authoritative for both Parties as the record of truth in any pay dispute, and Company will produce relevant audit-log entries to Contractor on reasonable written request in connection with a pay dispute concerning a specific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Phase-Transition Payment; No Time-Based SLA. Milestone payments are triggered by phase transitions in the Commission Application, not by elapsed time from sold date. Contractor acknowledges that the timing of each phase transition depends on Customer, Installer, lender, utility, and other third-party performance, and that Company makes no representation regarding how quickly any Deal will reach Acceptance, Installed, or PTO. Company's only payment obligation is to pay the milestone on the next regular pay cycle following the qualifying phase transition (and, for M2, Company's receipt of installer funds).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Phase Rollback. Company may, in its reasonable discretion, reverse a Deal's phase in the Commission Application (for example, returning a Deal from "Installed" to "Permitting" if material design or paperwork issues are discovered). Draft or pending milestone amounts associated with the reversed phase will be voided. Already-paid milestones are not affected by phase rollback alone, but remain subject to chargeback under the next paragraph.</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Pass-Through Chargebacks. Compensation paid to Contractor on a Deal is contingent on the Deal remaining in Good Standing through PTO and on Company retaining the corresponding installer payment. If a Customer Contract is cancelled, rescinded, voided, or otherwise unwinds, or if the Installer or any lender claws back, withholds, or reduces a payment to Company in respect of the Deal, Contractor will repay or forfeit a corresponding amount of compensation as follows: (a) any draft or pending milestone is voided; (b) for each milestone already paid to Contractor, a chargeback equal to the paid amount will be recorded in the Commission Application against Contractor; (c) Company may offset such chargeback against any current or future amounts owed to Contractor under this Agreement or any other agreement; and (d) if Contractor has no current or future amounts owed at the time of chargeback, Company may invoice Contractor directly for the chargeback amount, payable within thirty (30) days. Chargeback exposure passes through to Contractor: Contractor's recovery risk on each Deal mirrors Company's recovery risk against the Installer on that Deal.</w:t>
      </w:r>
      <w:r>
        <w:rPr>
          <w:rFonts w:ascii="Times New Roman" w:cs="Times New Roman" w:eastAsia="Times New Roman" w:hAnsi="Times New Roman"/>
          <w:b/>
          <w:bCs/>
          <w:i/>
          <w:iCs/>
          <w:color w:val="C00000"/>
          <w:sz w:val="22"/>
          <w:szCs w:val="22"/>
        </w:rPr>
        <w:t xml:space="preserve"> [REVIEW: Pass-through chargeback survives termination — see Survival paragraph below. Counsel should confirm direct-invoice right is enforceable post-termination in Utah and in any other state where Contractor resides.]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Post-Termination Chargebacks. The chargeback, offset, and direct-invoice rights described in this Section 3 survive termination or expiration of this Agreement for so long as any Deal in which Contractor participated remains subject to potential chargeback under any applicable Customer Contract, Installer agreement, or lender agreement. Contractor remains obligated to repay any chargeback assessed after termination.</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Offset. Company may at any time offset any amount owing from Contractor to Company (including chargebacks, the missed-appointment penalty below, lost or unreturned Company property, and any other liquidated amount under this Agreement) against any amount owed to Contractor by Company.</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Trainer Override. If Contractor is enrolled as either a trainer or a trainee under a separate written Trainer Addendum, that Addendum will govern the per-watt override and its effect on the parties' commission split. Absent a signed Trainer Addendum, no trainer override applies to Contractor's Deals.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Missed-Appointment Penalty. If Contractor misses a scheduled Customer appointment, a $50 penalty will be assessed and may be offset against Contractor's pay. To confirm attendance, Contractor must either (i) check in to the appointment through the Commission Application or (ii) timely provide a photograph showing the residence's front door with the address visible.</w:t>
      </w:r>
      <w:r>
        <w:rPr>
          <w:rFonts w:ascii="Times New Roman" w:cs="Times New Roman" w:eastAsia="Times New Roman" w:hAnsi="Times New Roman"/>
          <w:b/>
          <w:bCs/>
          <w:i/>
          <w:iCs/>
          <w:color w:val="C00000"/>
          <w:sz w:val="22"/>
          <w:szCs w:val="22"/>
        </w:rPr>
        <w:t xml:space="preserve"> [REVIEW: Confirm enforceability of the $50 automatic deduction under each operating state's wage/IC laws — some states limit pre-set deductions from independent contractors. Counsel may also wish to recharacterize as a liquidated-damages clause for additional clarity.]</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Reimbursements. Contractor is responsible for Contractor's own business expenses and will not be reimbursed for any expense absent prior written approval by Company. Reimbursement requests, where pre-approved, must be submitted through the in-app reimbursement workflow on the My Pay page (or any successor surface designated by Company) with supporting receipts; payment of approved reimbursements will follow Company's standard reimbursement cycle.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Taxes. Contractor is responsible for all federal, state, and local income, self-employment, and other taxes payable on amounts received under this Agreement. Company will issue an annual IRS Form 1099-NEC (or successor form) to Contractor reporting amounts paid. If applicable, Contractor is responsible for any sales or use taxes related to the underlying Customer Contracts.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Changes to Compensation. Subject to the prospective-only rule for Pay Scale revisions, Company may amend the compensation provisions of this Agreement on at least five (5) days' prior written notice to Contractor; continued performance after the effective date of the change constitutes acceptance.</w:t>
      </w:r>
      <w:r>
        <w:rPr>
          <w:rFonts w:ascii="Times New Roman" w:cs="Times New Roman" w:eastAsia="Times New Roman" w:hAnsi="Times New Roman"/>
          <w:b/>
          <w:bCs/>
          <w:i/>
          <w:iCs/>
          <w:color w:val="C00000"/>
          <w:sz w:val="22"/>
          <w:szCs w:val="22"/>
        </w:rPr>
        <w:t xml:space="preserve"> [REVIEW: Five-day modification window is carried over from the original template; counsel should consider whether unilateral modification with continued-performance acceptance is enforceable in all states.]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Notice of Rate Changes. Company will provide Contractor with reasonable advance notice of any change to per-installer rates that would affect Deals not yet sold by Contractor. Notice may be given by email, in-app message, or written notice. Deals already sold are not affected by post-sale rate changes — each Deal is priced according to the rates in effect on its sold date as recorded in the Commission Application.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u w:val="single"/>
        </w:rPr>
        <w:t xml:space="preserve">Confidentiality</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hold all Confidential Information in strict confidence and will not disclose, copy, publish, or use any Confidential Information except as necessary to perform the Services. Contractor will use at least the same degree of care that Contractor uses to protect Contractor's own confidential information, and in no event less than reasonable care.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Customer-provided information (including names, contact information, utility data, financial information used for credit checks, and intake details) is Confidential Information and is also subject to applicable consumer-privacy laws. Contractor will not retain, share, or use Customer information for any purpose other than executing the Services for Company, will not transmit Customer information through unapproved channels (including personal email, personal cloud storage, or unsanctioned messaging tools), and will promptly notify Company of any actual or suspected unauthorized access, use, or disclosure of Customer information.</w:t>
      </w:r>
      <w:r>
        <w:rPr>
          <w:rFonts w:ascii="Times New Roman" w:cs="Times New Roman" w:eastAsia="Times New Roman" w:hAnsi="Times New Roman"/>
          <w:b/>
          <w:bCs/>
          <w:i/>
          <w:iCs/>
          <w:color w:val="C00000"/>
          <w:sz w:val="22"/>
          <w:szCs w:val="22"/>
        </w:rPr>
        <w:t xml:space="preserve"> [REVIEW: Confirm consistency with any GLBA, CCPA/CPRA, and state breach-notification obligations.]</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Use of Company Resources. Contractor shall not use any Company-provided resource — including without limitation the Commission Application, customer leads, customer-relationship-management systems, training materials, intake forms (including the Battery + Solar / BVI intake), pricing data, installer contact information, marketing assets, branded apparel, or any data derived from Company systems — to support, refer, or facilitate any sale or business activity for any third party. Misuse of Company resources is a material breach permitting immediate termination and entitles Company to all available equitable remedies, including injunctive relief without bond.</w:t>
      </w:r>
      <w:r>
        <w:rPr>
          <w:rFonts w:ascii="Times New Roman" w:cs="Times New Roman" w:eastAsia="Times New Roman" w:hAnsi="Times New Roman"/>
          <w:b/>
          <w:bCs/>
          <w:i/>
          <w:iCs/>
          <w:color w:val="C00000"/>
          <w:sz w:val="22"/>
          <w:szCs w:val="22"/>
        </w:rPr>
        <w:t xml:space="preserve"> [REVIEW: Counsel should confirm the without-bond injunctive-relief carve-out is enforceable in each operating state — some states (notably California) require a bond as a procedural matter regardless of contract language.]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Equitable Relief. Contractor acknowledges that money damages are not a sufficient remedy for breach of this Section and agrees that Company is entitled to injunctive and other equitable relief without need to post bond, in addition to any other remedy.</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This Section survives termination of the Agreement. Confidentiality obligations continue for three (3) years after termination; Trade Secrets remain protected for so long as they qualify as such under applicable law. Upon termination or on Company's request, Contractor will return or destroy all Confidential Information and certify destruction in writing.</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u w:val="single"/>
        </w:rPr>
        <w:t xml:space="preserve">Inspections and Records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maintain a sales-process control system reasonably acceptable to Company. Records of Contractor's work, including intake forms, Customer correspondence, and Deal documentation, will be made available to Company on reasonable request during the Sales Term and for three (3) years thereafter. Submission and storage of Deal records through the Commission Application satisfies this Section.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u w:val="single"/>
        </w:rPr>
        <w:t xml:space="preserve">Warranties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Confidential Information and the Commission Application are provided on an "AS IS" basis. COMPANY MAKES NO WARRANTIES, EXPRESS OR IMPLIED, INCLUDING WARRANTIES OF NON-INFRINGEMENT, MERCHANTABILITY, OR FITNESS FOR A PARTICULAR PURPOSE. Company is not liable for damages arising out of Contractor's use of Confidential Information or the Commission Application.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u w:val="single"/>
        </w:rPr>
        <w:t xml:space="preserve">Indemnification and Insurance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Indemnification by Contractor. Except to the extent caused by Company's gross negligence or willful misconduct, Contractor will defend, indemnify, and hold harmless Company, its directors, officers, employees, agents, successors, assigns, and Customers against any and all claims, demands, losses, judgments, damages, costs (including reasonable attorneys' fees), fines, penalties, and liabilities arising out of or in connection with: (a) any act or omission of Contractor or Contractor's personnel; (b) any breach of this Agreement by Contractor; (c) Contractor's misclassification of, or failure to pay or report taxes on behalf of, any of Contractor's personnel; (d) any false, misleading, or unauthorized statement by Contractor to a Customer; or (e) any violation of consumer-protection law by Contractor.</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Mutual IP Indemnification. Each Party will defend, indemnify, and hold harmless the other against any third-party claim that the indemnifying Party's materials or processes provided under this Agreement infringe a third party's patent, copyright, trademark, or trade-secret rights.</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Insurance. During the Sales Term, Contractor will maintain at Contractor's own cost (i) statutory Workers' Compensation and Employer's Liability insurance covering Contractor's personnel; (ii) Commercial General Liability insurance with limits of at least $1,000,000 per occurrence and $2,000,000 aggregate, naming Company as additional insured; and (iii) Business Automobile Liability insurance covering all vehicles used in connection with the Services with a minimum limit of $1,000,000 per accident, naming Company as additional insured. Insurance must be primary and non-contributory as to Company; carriers must give Company at least sixty (60) days' prior written notice of cancellation, non-renewal, or material change. Contractor will furnish certificates of insurance and endorsements on request. All policies will contain a waiver of subrogation in favor of Company.</w:t>
      </w:r>
      <w:r>
        <w:rPr>
          <w:rFonts w:ascii="Times New Roman" w:cs="Times New Roman" w:eastAsia="Times New Roman" w:hAnsi="Times New Roman"/>
          <w:b/>
          <w:bCs/>
          <w:i/>
          <w:iCs/>
          <w:color w:val="C00000"/>
          <w:sz w:val="22"/>
          <w:szCs w:val="22"/>
        </w:rPr>
        <w:t xml:space="preserve"> [REVIEW: Counsel and Contractor's broker should confirm appropriateness for each state of operation. Some 1099 solar reps push back on Workers' Comp where they have no employees — consider sole-proprietor exemption language if applicable.]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u w:val="single"/>
        </w:rPr>
        <w:t xml:space="preserve">Limitation of Liability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EXCEPT AS REQUIRED BY APPLICABLE LAW, COMPANY WILL NOT BE LIABLE TO CONTRACTOR OR ANY THIRD PARTY FOR ANY INDIRECT, SPECIAL, CONSEQUENTIAL, INCIDENTAL, OR PUNITIVE DAMAGES, INCLUDING LOST PROFITS OR ANTICIPATED COMMISSIONS, ARISING OUT OF OR RELATING TO THIS AGREEMENT, EVEN IF COMPANY HAS BEEN ADVISED OF THE POSSIBILITY OF SUCH DAMAGES. COMPANY'S TOTAL CUMULATIVE LIABILITY UNDER THIS AGREEMENT WILL NOT EXCEED THE AMOUNTS PAID OR PAYABLE TO CONTRACTOR ON THE SPECIFIC DEAL GIVING RISE TO THE CLAIM.</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9. </w:t>
      </w:r>
      <w:r>
        <w:rPr>
          <w:rFonts w:ascii="Times New Roman" w:cs="Times New Roman" w:eastAsia="Times New Roman" w:hAnsi="Times New Roman"/>
          <w:b w:val="false"/>
          <w:bCs w:val="false"/>
          <w:i w:val="false"/>
          <w:iCs w:val="false"/>
          <w:sz w:val="24"/>
          <w:szCs w:val="24"/>
          <w:u w:val="single"/>
        </w:rPr>
        <w:t xml:space="preserve">Compliance; Drug-Free Workplace; Background Check</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General Compliance. Contractor will comply with all applicable laws and lawful orders applicable to the Services.</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Drug-Free Workplace. As a condition precedent to engagement, Contractor will not be under the influence of, manufacture, distribute, dispense, possess, or use illegal drugs or unlawful controlled substances while performing the Services or while on Company or Customer premises. A material violation of this Section is grounds for immediate termination of this Agreement.</w:t>
      </w:r>
      <w:r>
        <w:rPr>
          <w:rFonts w:ascii="Times New Roman" w:cs="Times New Roman" w:eastAsia="Times New Roman" w:hAnsi="Times New Roman"/>
          <w:b/>
          <w:bCs/>
          <w:i/>
          <w:iCs/>
          <w:color w:val="C00000"/>
          <w:sz w:val="22"/>
          <w:szCs w:val="22"/>
        </w:rPr>
        <w:t xml:space="preserve"> [REVIEW: Tightened to "precondition" framing per IC-classification concerns. Original template included broad ongoing reasonable-suspicion testing rights, which read more like an employment policy.]</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Background Check. Contractor authorizes Company or its agents to conduct a background check as a Condition Precedent and consents to the related release authorization. Failure to cooperate is grounds for termination.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10. </w:t>
      </w:r>
      <w:r>
        <w:rPr>
          <w:rFonts w:ascii="Times New Roman" w:cs="Times New Roman" w:eastAsia="Times New Roman" w:hAnsi="Times New Roman"/>
          <w:b w:val="false"/>
          <w:bCs w:val="false"/>
          <w:i w:val="false"/>
          <w:iCs w:val="false"/>
          <w:sz w:val="24"/>
          <w:szCs w:val="24"/>
          <w:u w:val="single"/>
        </w:rPr>
        <w:t xml:space="preserve">Conflict of Interest and Communications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represents that Contractor has no contract, arrangement, or interest that would create a material conflict with Contractor's obligations under this Agreement, and will not enter into any such arrangement during the Sales Term.</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(a) make any false, misleading, or disparaging statement about Company, its Installers, its other contractors, or its officers, directors, members, or affiliates to Customers, prospective Customers, competitors, or any other person, except for truthful testimony under lawful subpoena or court order (in which case Contractor will give Company prompt notice if legally permitted); (b) solicit any Customer to perform Services for any competing company; or (c) submit a bid or proposal for any solar, battery, or energy-product installation for any third-party entity that is not Company. For each material breach of this Section, Contractor will pay Company $1,000 as liquidated damages, the Parties acknowledging that actual damages would be difficult to determine.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11. </w:t>
      </w:r>
      <w:r>
        <w:rPr>
          <w:rFonts w:ascii="Times New Roman" w:cs="Times New Roman" w:eastAsia="Times New Roman" w:hAnsi="Times New Roman"/>
          <w:b w:val="false"/>
          <w:bCs w:val="false"/>
          <w:i w:val="false"/>
          <w:iCs w:val="false"/>
          <w:sz w:val="24"/>
          <w:szCs w:val="24"/>
          <w:u w:val="single"/>
        </w:rPr>
        <w:t xml:space="preserve">Cooperative Sales; Trademark License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Leads. Contractor may, at Contractor's discretion, refer leads to Company. If Company successfully closes such a referral as a Customer, Company may compensate Contractor for the referral on terms agreed in a separate signed writing.</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Trademark License. Subject to Company's reasonable usage guidelines, Company grants Contractor a non-exclusive, non-transferable, revocable license during the Sales Term to use and display Company's names and trademarks (the "Company Marks") solely as necessary to perform the Services. The license terminates automatically on expiration or termination of this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12. </w:t>
      </w:r>
      <w:r>
        <w:rPr>
          <w:rFonts w:ascii="Times New Roman" w:cs="Times New Roman" w:eastAsia="Times New Roman" w:hAnsi="Times New Roman"/>
          <w:b w:val="false"/>
          <w:bCs w:val="false"/>
          <w:i w:val="false"/>
          <w:iCs w:val="false"/>
          <w:sz w:val="24"/>
          <w:szCs w:val="24"/>
          <w:u w:val="single"/>
        </w:rPr>
        <w:t xml:space="preserve">Intellectual Property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All leads, Customer information, designs, systems, know-how, intake forms, and other information generated or accessed in the course of the Services, and all data in the Commission Application, are and will remain the property of Company and constitute Intellectual Property of Company. Any improvements, suggestions, or work product Contractor creates in the course of the Services that relate to Company's business are assigned to Company on creation as part of Company's Intellectual Property. Contractor will execute any documents reasonably necessary to perfect Company's ownership of such Intellectual Property.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13. </w:t>
      </w:r>
      <w:r>
        <w:rPr>
          <w:rFonts w:ascii="Times New Roman" w:cs="Times New Roman" w:eastAsia="Times New Roman" w:hAnsi="Times New Roman"/>
          <w:b w:val="false"/>
          <w:bCs w:val="false"/>
          <w:i w:val="false"/>
          <w:iCs w:val="false"/>
          <w:sz w:val="24"/>
          <w:szCs w:val="24"/>
          <w:u w:val="single"/>
        </w:rPr>
        <w:t xml:space="preserve">Expiration and Termination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Convenience. Either Party may terminate this Agreement for convenience by giving the other Party at least seven (7) days' written notice.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Cause. Either Party may terminate this Agreement immediately on written notice if the other Party materially breaches this Agreement (including the Confidentiality, Compliance, Conflict of Interest, or Non-Solicitation sections) and fails to cure (if cure is possible) within seven (7) days of written notice of the breach. Company may also terminate immediately on written notice for fraud, gross misconduct, or any conduct that exposes Company or any Customer to material harm.</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Mutual Termination. The Parties may terminate this Agreement at any time by mutual written agreement.</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Pipeline Disposition. On termination for any reason other than fraud or material uncured breach by Contractor: (a) Deals already in Good Standing as of the termination date will continue to pay through their normal milestones, subject to the Pass-Through Chargebacks paragraph of Section 3; (b) Deals not yet in Good Standing as of the termination date may, in Company's discretion, either continue to pay through their normal milestones or be reassigned to another contractor with no further compensation owed to Contractor; and (c) M1 advances already paid on Deals that subsequently cancel remain subject to chargeback. On termination for fraud or material uncured breach by Contractor, Company may withhold pending payment on any Deal pending investigation and may, in its discretion, deem all unpaid milestones forfeited to the extent permitted by applicable law.</w:t>
      </w:r>
      <w:r>
        <w:rPr>
          <w:rFonts w:ascii="Times New Roman" w:cs="Times New Roman" w:eastAsia="Times New Roman" w:hAnsi="Times New Roman"/>
          <w:b/>
          <w:bCs/>
          <w:i/>
          <w:iCs/>
          <w:color w:val="C00000"/>
          <w:sz w:val="22"/>
          <w:szCs w:val="22"/>
        </w:rPr>
        <w:t xml:space="preserve"> [REVIEW: Pipeline disposition softened so reps don't forfeit earned milestones on a clean rep-initiated termination — reduces the IC-classification risk that arises when a 1099 contractor is penalized for "quitting." Counsel should confirm forfeiture-on-fraud language is enforceable in any state where Contractor resides.]</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Return of Materials. Within seven (7) days after termination, Contractor will return to Company all Customer files, Confidential Information, Company property, ID badge, and any equipment supplied by Company; and will permanently delete any copies of Confidential Information held outside the Commission Application.</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No Liability for Termination. Neither Party will be liable to the other for damages on account of termination, including loss of prospective revenues or recovery of expenses incurred in anticipation of future business. This does not limit Contractor's right to compensation already earned under the Pipeline Disposition paragraph above.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14. </w:t>
      </w:r>
      <w:r>
        <w:rPr>
          <w:rFonts w:ascii="Times New Roman" w:cs="Times New Roman" w:eastAsia="Times New Roman" w:hAnsi="Times New Roman"/>
          <w:b w:val="false"/>
          <w:bCs w:val="false"/>
          <w:i w:val="false"/>
          <w:iCs w:val="false"/>
          <w:sz w:val="24"/>
          <w:szCs w:val="24"/>
          <w:u w:val="single"/>
        </w:rPr>
        <w:t xml:space="preserve">Non-Solicitation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Customers. During the Sales Term and for twelve (12) months thereafter, Contractor will not, directly or indirectly, solicit any Customer to whom Contractor was introduced by Company or whom Contractor worked or pitched on behalf of Company, for the purpose of providing solar, battery storage, or energy-product sales or services that compete with Company's business.</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Personnel. During the Sales Term and for twelve (12) months thereafter, Contractor will not, directly or indirectly, solicit, hire, or engage any then-current employee or independent contractor of Company.</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No Non-Compete. For the avoidance of doubt, this Agreement does not impose a post-termination non-compete. The Channel Exclusivity in Section 15 ends at termination, and after termination Contractor is free to sell solar, battery storage, or energy products generally for any other principal, subject only to the Customer-protection and personnel-protection obligations in the two paragraphs above and the confidentiality obligations in Section 4.</w:t>
      </w:r>
      <w:r>
        <w:rPr>
          <w:rFonts w:ascii="Times New Roman" w:cs="Times New Roman" w:eastAsia="Times New Roman" w:hAnsi="Times New Roman"/>
          <w:b/>
          <w:bCs/>
          <w:i/>
          <w:iCs/>
          <w:color w:val="C00000"/>
          <w:sz w:val="22"/>
          <w:szCs w:val="22"/>
        </w:rPr>
        <w:t xml:space="preserve"> [REVIEW: Tightened to 12 months and dropped the broader vendor/subcontractor reach. Explicit no-post-term-non-compete carve-out aligns with California Business &amp; Professions Code §16600 and the FTC's evolving non-compete posture.]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15. </w:t>
      </w:r>
      <w:r>
        <w:rPr>
          <w:rFonts w:ascii="Times New Roman" w:cs="Times New Roman" w:eastAsia="Times New Roman" w:hAnsi="Times New Roman"/>
          <w:b w:val="false"/>
          <w:bCs w:val="false"/>
          <w:i w:val="false"/>
          <w:iCs w:val="false"/>
          <w:sz w:val="24"/>
          <w:szCs w:val="24"/>
          <w:u w:val="single"/>
        </w:rPr>
        <w:t xml:space="preserve">Relationship of the Parties; Assignment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Independent Contractor. Contractor is an independent contractor. Contractor is not an employee, agent, partner, or joint venturer of Company and is not eligible for any Company employee benefits. Contractor is solely responsible for the manner and means of performing the Services, including hours of work, methods, equipment, and personnel decisions. Company's direction is limited to the results of the Services and the standards in Exhibit B; the day-to-day execution is Contractor's.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Channel Exclusivity. During the term of this Agreement, Contractor shall not, directly or indirectly, solicit, sell, install, finance, or facilitate the sale of solar electric systems, battery storage systems, or related residential energy products for or on behalf of any dealer, broker, EPC, installer, or other entity other than Company. This restriction does not prevent Contractor from engaging in occupations or businesses outside the residential solar and battery industry, provided such activities do not interfere with Contractor's obligations under this Agreement.</w:t>
      </w:r>
      <w:r>
        <w:rPr>
          <w:rFonts w:ascii="Times New Roman" w:cs="Times New Roman" w:eastAsia="Times New Roman" w:hAnsi="Times New Roman"/>
          <w:b/>
          <w:bCs/>
          <w:i/>
          <w:iCs/>
          <w:color w:val="C00000"/>
          <w:sz w:val="22"/>
          <w:szCs w:val="22"/>
        </w:rPr>
        <w:t xml:space="preserve"> [REVIEW: Drafted as channel exclusivity (industry-scoped) rather than full economic exclusivity to avoid the classic IC-misclassification trigger of forbidding all outside work. Even so, channel exclusivity should be sanity-checked against California AB5 prong B for any rep operating in California, since some courts treat industry exclusivity as evidence the worker is integrated into Company's usual course of business.]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Taxes; Benefits. Company will not withhold income, FICA, or other taxes from amounts paid to Contractor and will not contribute to social security, unemployment, workers' compensation, or other benefit programs on Contractor's behalf. Contractor is responsible for all such taxes and contributions.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No Authority. Contractor has no authority to bind Company, sign contracts on Company's behalf, or create any obligation in Company's name without prior written authorization.</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Tools and Equipment. Contractor will provide, at Contractor's own expense, the tools, equipment, transportation, and supplies necessary to perform the Services, except for any equipment or branded materials Company elects in writing to provide. Company-supplied equipment must be returned on termination or on request; loss or damage may be offset under the Offset paragraph of Section 3.</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Subcontracting. Contractor may not assign, delegate, or subcontract any obligation under this Agreement without Company's prior written consent. Company may assign this Agreement to any affiliate or successor in interest by way of merger, acquisition, or sale of all or substantially all of its assets.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California-Specific Notice. Where Contractor solicits Customers in California, the Parties acknowledge that California Labor Code §2775 and the California Supreme Court decisions in Dynamex and Borello set a heightened bar for independent-contractor classification. Contractor represents that Contractor (a) is engaged in an independently established trade, occupation, or business of the same nature as the Services; (b) is free from Company's control and direction in connection with performance of the Services, both under this Agreement and in fact; and (c) performs work outside the usual course of Company's business as a sales-and-marketing organization rather than an installer. Contractor further acknowledges responsibility for CSLB Home Improvement Salesperson registration prior to soliciting California residential customers and for compliance with the California Solar Energy Systems Act (including the homeowner three-day right of cancellation).</w:t>
      </w:r>
      <w:r>
        <w:rPr>
          <w:rFonts w:ascii="Times New Roman" w:cs="Times New Roman" w:eastAsia="Times New Roman" w:hAnsi="Times New Roman"/>
          <w:b/>
          <w:bCs/>
          <w:i/>
          <w:iCs/>
          <w:color w:val="C00000"/>
          <w:sz w:val="22"/>
          <w:szCs w:val="22"/>
        </w:rPr>
        <w:t xml:space="preserve"> [REVIEW: Counsel should pressure-test the "outside the usual course" prong (Borello/ABC test "B"). JD's position is that JD is a sales/marketing organization and the installers are the ones in the construction/installation business; this framing should hold but warrants California labor counsel review.]</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16. </w:t>
      </w:r>
      <w:r>
        <w:rPr>
          <w:rFonts w:ascii="Times New Roman" w:cs="Times New Roman" w:eastAsia="Times New Roman" w:hAnsi="Times New Roman"/>
          <w:b w:val="false"/>
          <w:bCs w:val="false"/>
          <w:i w:val="false"/>
          <w:iCs w:val="false"/>
          <w:sz w:val="24"/>
          <w:szCs w:val="24"/>
          <w:u w:val="single"/>
        </w:rPr>
        <w:t xml:space="preserve">Notice; Electronic Commerce; Choice of Law</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Notice. Notices must be in writing and delivered by registered mail, overnight courier, or personal delivery (signature required), or by email to the address each Party provides for that purpose.</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Electronic Records and Signatures. The Parties consent to use of electronic records and electronic signatures and agree that electronic communications, click-through acceptances, and the audit log of the Commission Application are valid and binding records of the Parties' agreements and acts.</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Governing Law and Venue. This Agreement is governed by and construed in accordance with the laws of the State of Utah, without regard to conflict-of-laws principles. Any action arising out of or related to this Agreement must be brought exclusively in the state or federal courts located in Utah County, Utah, and the Parties submit to the exclusive jurisdiction of those courts. THE PARTIES WAIVE ANY RIGHT TO TRIAL BY JURY.</w:t>
      </w:r>
      <w:r>
        <w:rPr>
          <w:rFonts w:ascii="Times New Roman" w:cs="Times New Roman" w:eastAsia="Times New Roman" w:hAnsi="Times New Roman"/>
          <w:b/>
          <w:bCs/>
          <w:i/>
          <w:iCs/>
          <w:color w:val="C00000"/>
          <w:sz w:val="22"/>
          <w:szCs w:val="22"/>
        </w:rPr>
        <w:t xml:space="preserve"> [REVIEW: Choice of Utah law and Utah County venue is preserved from the original. In some states (notably California, Labor Code §925), choice-of-law and venue clauses against employees are voidable; analogous arguments have been raised against IC contracts. Counsel should confirm enforceability in California specifically.]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17. </w:t>
      </w:r>
      <w:r>
        <w:rPr>
          <w:rFonts w:ascii="Times New Roman" w:cs="Times New Roman" w:eastAsia="Times New Roman" w:hAnsi="Times New Roman"/>
          <w:b w:val="false"/>
          <w:bCs w:val="false"/>
          <w:i w:val="false"/>
          <w:iCs w:val="false"/>
          <w:sz w:val="24"/>
          <w:szCs w:val="24"/>
          <w:u w:val="single"/>
        </w:rPr>
        <w:t xml:space="preserve">General</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Entire Agreement. This Agreement (together with its exhibits, any signed Trainer Addendum, and any signed referral agreement) is the entire agreement of the Parties and supersedes all prior agreements and understandings on the subject matter.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Amendments. No amendment to this Agreement is effective unless in writing and signed by an authorized representative of each Party, except as expressly permitted by the Pay Scale and Changes-to-Compensation paragraphs of Section 3.</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Severability. If any provision of this Agreement is held unenforceable, that provision will be limited or omitted to the minimum extent necessary, and the remaining provisions will remain in full force.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Counterparts; Execution. This Agreement may be executed in counterparts, including by electronic signature, each of which is an original and all of which together constitute one instrument.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Force Majeure. Neither Party is liable for any delay or failure to perform caused by an event beyond its reasonable control, including fire, flood, earthquake, storm, strike, riot, war, terrorism, pandemic, or governmental order.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The Compensation, Confidentiality, Inspections, Warranties, Indemnification, Limitation of Liability, Intellectual Property, post-termination Pipeline Disposition, Non-Solicitation, Independent Contractor, Notice, and General sections survive termination of this Agreement.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No Construction Against Drafter. The Parties acknowledge that this Agreement was negotiated and that no presumption applies favoring or disfavoring either Party as drafter.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Acknowledgement. Contractor has reviewed this Agreement, understands its provisions, has had the opportunity to consult independent counsel, and is entering into it freely and voluntarily.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160" w:before="200" w:line="280"/>
        <w:jc w:val="both"/>
      </w:pPr>
      <w:r>
        <w:rPr>
          <w:rFonts w:ascii="Times New Roman" w:cs="Times New Roman" w:eastAsia="Times New Roman" w:hAnsi="Times New Roman"/>
          <w:b w:val="false"/>
          <w:bCs w:val="false"/>
          <w:i w:val="false"/>
          <w:iCs w:val="false"/>
          <w:sz w:val="24"/>
          <w:szCs w:val="24"/>
        </w:rPr>
        <w:t xml:space="preserve">IN WITNESS WHEREOF, the Parties have executed this Agreement as of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60" w:before="60" w:line="280"/>
              <w:jc w:val="both"/>
            </w:pPr>
            <w:r>
              <w:rPr>
                <w:rFonts w:ascii="Times New Roman" w:cs="Times New Roman" w:eastAsia="Times New Roman" w:hAnsi="Times New Roman"/>
                <w:b/>
                <w:bCs/>
                <w:i w:val="false"/>
                <w:iCs w:val="false"/>
                <w:sz w:val="24"/>
                <w:szCs w:val="24"/>
              </w:rPr>
              <w:t xml:space="preserve">JD MARKETING LLC DBA KILO ENERGY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Title: 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tc>
        <w:tc>
          <w:tcPr>
            <w:tcW w:type="dxa" w:w="4680"/>
            <w:tcBorders>
              <w:top w:val="none" w:color="FFFFFF" w:sz="0"/>
              <w:left w:val="none" w:color="FFFFFF" w:sz="0"/>
              <w:bottom w:val="none" w:color="FFFFFF" w:sz="0"/>
              <w:right w:val="none" w:color="FFFFFF" w:sz="0"/>
            </w:tcBorders>
            <w:tcMar>
              <w:top w:type="dxa" w:w="80"/>
              <w:left w:type="dxa" w:w="60"/>
              <w:bottom w:type="dxa" w:w="80"/>
              <w:right w:type="dxa" w:w="60"/>
            </w:tcMar>
          </w:tcPr>
          <w:p>
            <w:pPr>
              <w:spacing w:after="60" w:before="60" w:line="280"/>
              <w:jc w:val="both"/>
            </w:pPr>
            <w:r>
              <w:rPr>
                <w:rFonts w:ascii="Times New Roman" w:cs="Times New Roman" w:eastAsia="Times New Roman" w:hAnsi="Times New Roman"/>
                <w:b/>
                <w:bCs/>
                <w:i w:val="false"/>
                <w:iCs w:val="false"/>
                <w:sz w:val="24"/>
                <w:szCs w:val="24"/>
              </w:rPr>
              <w:t xml:space="preserve">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Title (if entity): 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tc>
      </w:tr>
    </w:tbl>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A — PAY SCALE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Reference. The per-installer rates that determine Contractor's compensation are configured in the Commission Application (admin-only) and applied to each Deal through the in-app calculator at submission. The rates in effect on a Deal's sold date are snapshotted to that Deal. Contractor will see the calculator's pricing of each Deal at submission and the resulting milestone payouts on the My Pay page; Contractor may request the rate detail behind any specific Deal in writing.</w:t>
      </w:r>
    </w:p>
    <w:p>
      <w:pPr>
        <w:spacing w:after="60" w:before="200" w:line="280"/>
        <w:jc w:val="both"/>
      </w:pPr>
      <w:r>
        <w:rPr>
          <w:rFonts w:ascii="Times New Roman" w:cs="Times New Roman" w:eastAsia="Times New Roman" w:hAnsi="Times New Roman"/>
          <w:b/>
          <w:bCs/>
          <w:i w:val="false"/>
          <w:iCs w:val="false"/>
          <w:sz w:val="24"/>
          <w:szCs w:val="24"/>
          <w:u w:val="single"/>
        </w:rPr>
        <w:t xml:space="preserve">Compensation Model — Plain English</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Per-Installer Baselines. For each Installer Company has engaged, the Pay Scale sets a Closer Baseline and a Setter Baseline, each expressed as a per-watt rate ($/W) and broken out by kW band. The Closer Baseline is typically $0.10 per watt below the Setter Baseline. The Installer's wholesale or "redline" rate (the per-watt amount Company itself pays the Installer) is Company-confidential and is not disclosed to 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Closer Differential. On a paired Deal (one closer plus one setter), the closer earns a Closer Differential before any above-split is calculated. The Closer Differential is normally the spread between the Setter Baseline and the Closer Baseline (typically $0.10 per watt), multiplied by system size in watts. If the Deal is sold for less than the Setter Baseline but more than the Closer Baseline, the Closer Differential is reduced to the spread between the sold price per watt and the Closer Baseline. The Closer Differential is never negative.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Above-Split. Anything sold above the Setter Baseline is divided 50/50 between the closer and the setter (the "Above-Split"). When a Trainer Override is in effect under a Trainer Addendum, the trainer's per-watt override is added to the Setter Baseline before the Above-Split is calculated, effectively coming out of the closer's and setter's halves rather than being added on top. The trainer's payout on the Deal is the per-watt override multiplied by system size in watts.</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Self-Generated Deals. On a self-generated Deal — one rep playing both the closer and setter roles — there is no setter, and the closer earns the entire amount sold above the Closer Baseline.</w:t>
      </w:r>
    </w:p>
    <w:p>
      <w:pPr>
        <w:spacing w:after="60" w:before="200" w:line="280"/>
        <w:jc w:val="both"/>
      </w:pPr>
      <w:r>
        <w:rPr>
          <w:rFonts w:ascii="Times New Roman" w:cs="Times New Roman" w:eastAsia="Times New Roman" w:hAnsi="Times New Roman"/>
          <w:b/>
          <w:bCs/>
          <w:i w:val="false"/>
          <w:iCs w:val="false"/>
          <w:sz w:val="24"/>
          <w:szCs w:val="24"/>
          <w:u w:val="single"/>
        </w:rPr>
        <w:t xml:space="preserve">Milestone Mechanics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M1 (advance) — A flat $1,000 if system size is 5 kW or greater, or $500 if less than 5 kW. M1 is paid on the next regular pay cycle following advancement to the "Acceptance" phase. On a paired Deal, M1 is paid 100% to the setter; on a self-generated Deal, M1 is paid to the closer. The M1 amount is netted off the rep's total commission on the Deal — it is an advance, not a bonus on top.</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M2 (install) — Paid on the next regular pay cycle following the later of (i) advancement to the "Installed" phase and (ii) Company's receipt of the corresponding installer funding. M2 is the installer-specific install-pay percentage of each rep's remaining commission after M1. Default install-pay percentage is 80%, with several Installers paying 100% at install and no M3.</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M3 (PTO) — Where the Installer's install-pay percentage is less than 100%, the remainder is paid as M3 on the next regular pay cycle following advancement to the "PTO" phase. Where install-pay percentage is 100%, no M3 is owed on that Deal.</w:t>
      </w:r>
    </w:p>
    <w:p>
      <w:pPr>
        <w:spacing w:after="60" w:before="200" w:line="280"/>
        <w:jc w:val="both"/>
      </w:pPr>
      <w:r>
        <w:rPr>
          <w:rFonts w:ascii="Times New Roman" w:cs="Times New Roman" w:eastAsia="Times New Roman" w:hAnsi="Times New Roman"/>
          <w:b/>
          <w:bCs/>
          <w:i w:val="false"/>
          <w:iCs w:val="false"/>
          <w:sz w:val="24"/>
          <w:szCs w:val="24"/>
          <w:u w:val="single"/>
        </w:rPr>
        <w:t xml:space="preserve">Pay Cycle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M1 cutoff is Sunday at 11:59 PM Mountain Time, paid the following Friday. M2 cutoff is Saturday at 11:59 PM Mountain Time, paid the following Friday. M3 follows the same Saturday-cutoff cadence. Payment is by ACH to the deposit account of record (a voided check or equivalent verification is required as a Condition Precedent).</w:t>
      </w:r>
    </w:p>
    <w:p>
      <w:pPr>
        <w:spacing w:after="60" w:before="200" w:line="280"/>
        <w:jc w:val="both"/>
      </w:pPr>
      <w:r>
        <w:rPr>
          <w:rFonts w:ascii="Times New Roman" w:cs="Times New Roman" w:eastAsia="Times New Roman" w:hAnsi="Times New Roman"/>
          <w:b/>
          <w:bCs/>
          <w:i w:val="false"/>
          <w:iCs w:val="false"/>
          <w:sz w:val="24"/>
          <w:szCs w:val="24"/>
          <w:u w:val="single"/>
        </w:rPr>
        <w:t xml:space="preserve">Chargebacks and Offsets</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See Section 3 of the Agreement. Chargebacks are recorded automatically in the Commission Application against the same milestones previously paid; they may be offset against current or future commissions or, if Contractor has no current or future commissions, invoiced directly. Chargeback exposure survives termination.</w:t>
      </w:r>
    </w:p>
    <w:p>
      <w:pPr>
        <w:spacing w:after="60" w:before="60" w:line="280"/>
        <w:jc w:val="both"/>
      </w:pPr>
      <w:r>
        <w:rPr>
          <w:rFonts w:ascii="Times New Roman" w:cs="Times New Roman" w:eastAsia="Times New Roman" w:hAnsi="Times New Roman"/>
          <w:b/>
          <w:bCs/>
          <w:i w:val="false"/>
          <w:iCs w:val="false"/>
          <w:sz w:val="24"/>
          <w:szCs w:val="24"/>
        </w:rPr>
        <w:t xml:space="preserve">Note. </w:t>
      </w:r>
      <w:r>
        <w:rPr>
          <w:rFonts w:ascii="Times New Roman" w:cs="Times New Roman" w:eastAsia="Times New Roman" w:hAnsi="Times New Roman"/>
          <w:b w:val="false"/>
          <w:bCs w:val="false"/>
          <w:i w:val="false"/>
          <w:iCs w:val="false"/>
          <w:sz w:val="24"/>
          <w:szCs w:val="24"/>
        </w:rPr>
        <w:t xml:space="preserve">This Exhibit A is descriptive of the compensation model. The authoritative dollar amounts, rates, kW bands, install-pay percentages, and any installer-specific exceptions are configured in the Commission Application and may be revised by Company prospectively as provided in Section 3 of the Agreement.</w:t>
      </w:r>
      <w:r>
        <w:rPr>
          <w:rFonts w:ascii="Times New Roman" w:cs="Times New Roman" w:eastAsia="Times New Roman" w:hAnsi="Times New Roman"/>
          <w:b/>
          <w:bCs/>
          <w:i/>
          <w:iCs/>
          <w:color w:val="C00000"/>
          <w:sz w:val="22"/>
          <w:szCs w:val="22"/>
        </w:rPr>
        <w:t xml:space="preserve"> [REVIEW: Replaced the original static $/kW Self-Gen vs Lead-Gen line with this narrative — Self-Gen vs Lead-Gen is not how the actual compensation engine works (the differential is per-installer Closer/Setter Baseline, not lead source).]</w:t>
      </w:r>
    </w:p>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B — WHITE GLOVE SERVICE STANDARDS — CODE OF CONDUCT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has a long-standing policy that no individual associated with Company, including independent contractors, will make any false or misleading statement during a sales or marketing presentation or otherwise. Company expects and requires Contractor to work with the highest standard of honesty and integrity. Failure to comply with these White Glove Service Standards is grounds for termination of the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bCs/>
          <w:i/>
          <w:iCs/>
          <w:color w:val="C00000"/>
          <w:sz w:val="22"/>
          <w:szCs w:val="22"/>
        </w:rPr>
        <w:t xml:space="preserve"> [REVIEW: Reframed "disciplinary action" as "grounds for termination" per IC-classification softening.]</w:t>
      </w:r>
    </w:p>
    <w:p>
      <w:pPr>
        <w:spacing w:after="60" w:before="200" w:line="280"/>
        <w:jc w:val="both"/>
      </w:pPr>
      <w:r>
        <w:rPr>
          <w:rFonts w:ascii="Times New Roman" w:cs="Times New Roman" w:eastAsia="Times New Roman" w:hAnsi="Times New Roman"/>
          <w:b/>
          <w:bCs/>
          <w:i w:val="false"/>
          <w:iCs w:val="false"/>
          <w:sz w:val="24"/>
          <w:szCs w:val="24"/>
          <w:u w:val="single"/>
        </w:rPr>
        <w:t xml:space="preserve">Customer Interaction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explain costs and timelines accurately and honestly, and will not lie, embellish, or promise outcomes that may not occur (including utility-bill savings, timeline-to-PTO, tax-credit eligibility, or interconnection outcomes).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conduct all aspects of business that touch Customers without unfair, deceptive, or abusive acts or practices.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advertising, sales, or marketing claim by Contractor will be deceptive or misleading, whether by affirmative statement, implication, or omission. All claims must be supported by factual, verifiable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be familiar with applicable advertising laws and FTC guidance on advertising and marketing.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refer to a system as "free" in oral or written marketing or sales discussions unless the Customer truly will not pay anything for the system or the energy it generates. Any other use of "free" must clearly disclose what is and is not included.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Quoted prices must be accurate and complete, with optional or additional items clearly labeled, payment terms clearly stated, and the period of price validity specified.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Where prices include incentives (such as utility or government programs) with eligibility requirements, Contractor will fully disclose those incentives and the eligibility requirements, or refer the Customer to qualified resources, subject to limitations on tax advice.</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Estimated prices must be reasonably based on information Contractor possesses and clearly labeled as estimates.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Comparisons of pricing or terms must not be misleading and must include all facts material to the comparison.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Performance projections (production estimates) must clearly identify any omitted material factors and the reason for omission.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Utility electricity-price projections must be clearly identified, verifiable, and based on commercially reliable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clearly and truthfully identify Company and the assigned Installer in every Customer interaction.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seek openness and transparency and will not exploit a Customer's lack of knowledge. If Contractor becomes aware that a Customer materially misunderstands a key aspect of a transaction or system fit, Contractor will correct the misunderstanding.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consider a Customer's capacity to understand contract terms and ramifications before entering into a contract with that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misrepresent the reason for any contact with a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questions will be answered honestly. If Contractor does not know an answer, Contractor will say so, find and report on the answer within a reasonable period, or direct the Customer to someone who can answer.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make statements that are false or without reasonable basis in fact, and will not omit material information when an omission would make a communication misleading.</w:t>
      </w:r>
    </w:p>
    <w:p>
      <w:pPr>
        <w:spacing w:after="60" w:before="200" w:line="280"/>
        <w:jc w:val="both"/>
      </w:pPr>
      <w:r>
        <w:rPr>
          <w:rFonts w:ascii="Times New Roman" w:cs="Times New Roman" w:eastAsia="Times New Roman" w:hAnsi="Times New Roman"/>
          <w:b/>
          <w:bCs/>
          <w:i w:val="false"/>
          <w:iCs w:val="false"/>
          <w:sz w:val="24"/>
          <w:szCs w:val="24"/>
          <w:u w:val="single"/>
        </w:rPr>
        <w:t xml:space="preserve">Contractor Conduct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Be courteous and considerate to Customers and neighbors.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smoking, vaping, chewing tobacco, or other tobacco/nicotine use, and no use of any drugs or alcohol on Customer premises.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When entering a Customer residence, remove shoes or wear shoe coverings.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Dress cleanly and professionally — Company-supplied branded shirt and hat where provided, clean pants and shoes in good condition without rips or holes.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cursing or disrespectful language. Contractor represents Company in every Customer interaction.</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 — Sales Representative</dc:title>
  <dc:creator>JD Marketing LLC DBA Kilo Energy</dc:creator>
  <cp:lastModifiedBy>Un-named</cp:lastModifiedBy>
  <cp:revision>1</cp:revision>
  <dcterms:created xsi:type="dcterms:W3CDTF">2026-05-09T01:26:37.524Z</dcterms:created>
  <dcterms:modified xsi:type="dcterms:W3CDTF">2026-05-09T01:26:37.527Z</dcterms:modified>
</cp:coreProperties>
</file>

<file path=docProps/custom.xml><?xml version="1.0" encoding="utf-8"?>
<Properties xmlns="http://schemas.openxmlformats.org/officeDocument/2006/custom-properties" xmlns:vt="http://schemas.openxmlformats.org/officeDocument/2006/docPropsVTypes"/>
</file>