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0"/>
        <w:jc w:val="center"/>
      </w:pPr>
      <w:r>
        <w:rPr>
          <w:rFonts w:ascii="Calibri" w:cs="Calibri" w:eastAsia="Calibri" w:hAnsi="Calibri"/>
          <w:b/>
          <w:bCs/>
          <w:i w:val="false"/>
          <w:iCs w:val="false"/>
          <w:sz w:val="32"/>
          <w:szCs w:val="32"/>
        </w:rPr>
        <w:t xml:space="preserve">KILO ENERGY — BLITZ TERMS &amp; CONDITIONS</w:t>
      </w:r>
    </w:p>
    <w:p>
      <w:pPr>
        <w:spacing w:after="200" w:before="0" w:line="280"/>
        <w:jc w:val="center"/>
      </w:pPr>
      <w:r>
        <w:rPr>
          <w:rFonts w:ascii="Calibri" w:cs="Calibri" w:eastAsia="Calibri" w:hAnsi="Calibri"/>
          <w:b w:val="false"/>
          <w:bCs w:val="false"/>
          <w:i/>
          <w:iCs/>
          <w:color w:val="6B7280"/>
          <w:sz w:val="20"/>
          <w:szCs w:val="20"/>
        </w:rPr>
        <w:t xml:space="preserve">In-app consent at blitz signup. Effective 2026-05-08.</w:t>
      </w:r>
    </w:p>
    <w:p>
      <w:pPr>
        <w:spacing w:after="60" w:before="200" w:line="280"/>
      </w:pPr>
      <w:r>
        <w:rPr>
          <w:rFonts w:ascii="Calibri" w:cs="Calibri" w:eastAsia="Calibri" w:hAnsi="Calibri"/>
          <w:b/>
          <w:bCs/>
          <w:i w:val="false"/>
          <w:iCs w:val="false"/>
          <w:color w:val="0F766E"/>
          <w:sz w:val="26"/>
          <w:szCs w:val="26"/>
        </w:rPr>
        <w:t xml:space="preserve">1. </w:t>
      </w:r>
      <w:r>
        <w:rPr>
          <w:rFonts w:ascii="Calibri" w:cs="Calibri" w:eastAsia="Calibri" w:hAnsi="Calibri"/>
          <w:b/>
          <w:bCs/>
          <w:i w:val="false"/>
          <w:iCs w:val="false"/>
          <w:color w:val="0F766E"/>
          <w:sz w:val="26"/>
          <w:szCs w:val="26"/>
        </w:rPr>
        <w:t xml:space="preserve">What this is</w:t>
      </w:r>
    </w:p>
    <w:p>
      <w:pPr>
        <w:spacing w:after="60" w:before="60" w:line="280"/>
      </w:pPr>
      <w:r>
        <w:rPr>
          <w:rFonts w:ascii="Calibri" w:cs="Calibri" w:eastAsia="Calibri" w:hAnsi="Calibri"/>
          <w:b w:val="false"/>
          <w:bCs w:val="false"/>
          <w:i w:val="false"/>
          <w:iCs w:val="false"/>
          <w:sz w:val="22"/>
          <w:szCs w:val="22"/>
        </w:rPr>
        <w:t xml:space="preserve">A "blitz" is a short, focused sales push — usually a few days to a couple of weeks — at a Company-selected location. Company may provide housing, transportation, or meals during a blitz. These Terms cover how that works and what we expect from each other while you're on the blitz.</w:t>
      </w:r>
    </w:p>
    <w:p>
      <w:pPr>
        <w:spacing w:after="60" w:before="60" w:line="280"/>
      </w:pPr>
      <w:r>
        <w:rPr>
          <w:rFonts w:ascii="Calibri" w:cs="Calibri" w:eastAsia="Calibri" w:hAnsi="Calibri"/>
          <w:b w:val="false"/>
          <w:bCs w:val="false"/>
          <w:i w:val="false"/>
          <w:iCs w:val="false"/>
          <w:sz w:val="22"/>
          <w:szCs w:val="22"/>
        </w:rPr>
        <w:t xml:space="preserve">You're reading this because you tapped Sign Up for a blitz inside the Kilo commission application. These Terms work alongside your existing Independent Contractor Agreement with JD Marketing LLC DBA Kilo Energy ("Company"). Nothing here changes your IC Agreement; it just adds blitz-specific rules. If anything in these Terms conflicts with the IC Agreement, the IC Agreement wins.</w:t>
      </w:r>
    </w:p>
    <w:p>
      <w:pPr>
        <w:spacing w:after="60" w:before="200" w:line="280"/>
      </w:pPr>
      <w:r>
        <w:rPr>
          <w:rFonts w:ascii="Calibri" w:cs="Calibri" w:eastAsia="Calibri" w:hAnsi="Calibri"/>
          <w:b/>
          <w:bCs/>
          <w:i w:val="false"/>
          <w:iCs w:val="false"/>
          <w:color w:val="0F766E"/>
          <w:sz w:val="26"/>
          <w:szCs w:val="26"/>
        </w:rPr>
        <w:t xml:space="preserve">2. </w:t>
      </w:r>
      <w:r>
        <w:rPr>
          <w:rFonts w:ascii="Calibri" w:cs="Calibri" w:eastAsia="Calibri" w:hAnsi="Calibri"/>
          <w:b/>
          <w:bCs/>
          <w:i w:val="false"/>
          <w:iCs w:val="false"/>
          <w:color w:val="0F766E"/>
          <w:sz w:val="26"/>
          <w:szCs w:val="26"/>
        </w:rPr>
        <w:t xml:space="preserve">Eligibility &amp; commitment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 must be an active contractor in good standing under your IC Agreement.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When you sign up, you're committing to the blitz dates posted in the app.</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If you leave a blitz before the scheduled end date, you may forfeit any remaining Company-provided housing, transportation, or meals as of the time you leave. Commission earned on deals submitted during the blitz is unaffected and continues to follow the normal milestone rules.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Company can cancel or reschedule a blitz; if we do, we'll let you know in the app.</w:t>
      </w:r>
    </w:p>
    <w:p>
      <w:pPr>
        <w:spacing w:after="60" w:before="200" w:line="280"/>
      </w:pPr>
      <w:r>
        <w:rPr>
          <w:rFonts w:ascii="Calibri" w:cs="Calibri" w:eastAsia="Calibri" w:hAnsi="Calibri"/>
          <w:b/>
          <w:bCs/>
          <w:i w:val="false"/>
          <w:iCs w:val="false"/>
          <w:color w:val="0F766E"/>
          <w:sz w:val="26"/>
          <w:szCs w:val="26"/>
        </w:rPr>
        <w:t xml:space="preserve">3. </w:t>
      </w:r>
      <w:r>
        <w:rPr>
          <w:rFonts w:ascii="Calibri" w:cs="Calibri" w:eastAsia="Calibri" w:hAnsi="Calibri"/>
          <w:b/>
          <w:bCs/>
          <w:i w:val="false"/>
          <w:iCs w:val="false"/>
          <w:color w:val="0F766E"/>
          <w:sz w:val="26"/>
          <w:szCs w:val="26"/>
        </w:rPr>
        <w:t xml:space="preserve">Company-provided housing</w:t>
      </w:r>
    </w:p>
    <w:p>
      <w:pPr>
        <w:spacing w:after="60" w:before="60" w:line="280"/>
      </w:pPr>
      <w:r>
        <w:rPr>
          <w:rFonts w:ascii="Calibri" w:cs="Calibri" w:eastAsia="Calibri" w:hAnsi="Calibri"/>
          <w:b w:val="false"/>
          <w:bCs w:val="false"/>
          <w:i w:val="false"/>
          <w:iCs w:val="false"/>
          <w:sz w:val="22"/>
          <w:szCs w:val="22"/>
        </w:rPr>
        <w:t xml:space="preserve">When Company provides housing — whether it's a leased unit, an Airbnb, or a hotel block — these rules apply: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Smoke-free. No smoking, vaping, or any tobacco/nicotine product inside the unit.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Drug-free. No illegal drugs or unlawful controlled substances on the premises, ever. This is consistent with the drug-free workplace rule in your IC Agreement and is enforceable the same way.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overnight guests who aren't on the blitz roster, unless Company approves in advance.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Firearms — only if you can lawfully carry the firearm in the state where the housing is located, and only if you tell Company in advance. If you're not sure, ask first.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Reasonable quiet hours — keep noise down between 10 PM and 7 AM unless the property's rules say otherwise.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Keep the unit reasonably clean. Trash goes out, dishes get done, common areas stay usable for the rest of the team.</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Damage you cause is your responsibility. Company can deduct repair or replacement cost from your commissions or invoice you directly under the offset and chargeback provisions of the IC Agreement.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subletting, swapping, or letting anyone else use the unit. The keys and access codes are yours alone for the blitz.</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Follow whatever house rules the property owner posts (Airbnb rules, hotel policies, lease terms). Those rules sit on top of these.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For Company-leased units, you authorize Company to inspect the unit during the blitz with reasonable advance notice (at least 12 hours, except in an emergency or suspected violation).</w:t>
      </w:r>
    </w:p>
    <w:p>
      <w:pPr>
        <w:spacing w:after="60" w:before="200" w:line="280"/>
      </w:pPr>
      <w:r>
        <w:rPr>
          <w:rFonts w:ascii="Calibri" w:cs="Calibri" w:eastAsia="Calibri" w:hAnsi="Calibri"/>
          <w:b/>
          <w:bCs/>
          <w:i w:val="false"/>
          <w:iCs w:val="false"/>
          <w:color w:val="0F766E"/>
          <w:sz w:val="26"/>
          <w:szCs w:val="26"/>
        </w:rPr>
        <w:t xml:space="preserve">4. </w:t>
      </w:r>
      <w:r>
        <w:rPr>
          <w:rFonts w:ascii="Calibri" w:cs="Calibri" w:eastAsia="Calibri" w:hAnsi="Calibri"/>
          <w:b/>
          <w:bCs/>
          <w:i w:val="false"/>
          <w:iCs w:val="false"/>
          <w:color w:val="0F766E"/>
          <w:sz w:val="26"/>
          <w:szCs w:val="26"/>
        </w:rPr>
        <w:t xml:space="preserve">Transportation</w:t>
      </w:r>
    </w:p>
    <w:p>
      <w:pPr>
        <w:spacing w:after="60" w:before="60" w:line="280"/>
      </w:pPr>
      <w:r>
        <w:rPr>
          <w:rFonts w:ascii="Calibri" w:cs="Calibri" w:eastAsia="Calibri" w:hAnsi="Calibri"/>
          <w:b w:val="false"/>
          <w:bCs w:val="false"/>
          <w:i w:val="false"/>
          <w:iCs w:val="false"/>
          <w:sz w:val="22"/>
          <w:szCs w:val="22"/>
        </w:rPr>
        <w:t xml:space="preserve">If Company provides a vehicle: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 must hold a valid driver's license for the entire blitz and present it on request.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DUI or reckless-driving conviction within the last five (5) years. If that changes during a blitz, tell Company immediately.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Operate the vehicle safely and lawfully. Seatbelts, speed limits, no phone use while driving — the basics.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Fuel and tolls during the blitz are your responsibility unless Company tells you otherwise in writing.</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Report any accident, traffic stop, citation, or vehicle damage to Company within 24 hours, regardless of fault.</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No personal use without prior approval. The vehicle is for blitz business and reasonable incidental personal trips (groceries, etc.). No road trips, no lending it out, no airport runs for non-blitz folks.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You're responsible for any moving violations, parking tickets, or toll charges incurred while you're the driver.</w:t>
      </w:r>
    </w:p>
    <w:p>
      <w:pPr>
        <w:spacing w:after="60" w:before="200" w:line="280"/>
      </w:pPr>
      <w:r>
        <w:rPr>
          <w:rFonts w:ascii="Calibri" w:cs="Calibri" w:eastAsia="Calibri" w:hAnsi="Calibri"/>
          <w:b/>
          <w:bCs/>
          <w:i w:val="false"/>
          <w:iCs w:val="false"/>
          <w:color w:val="0F766E"/>
          <w:sz w:val="26"/>
          <w:szCs w:val="26"/>
        </w:rPr>
        <w:t xml:space="preserve">5. </w:t>
      </w:r>
      <w:r>
        <w:rPr>
          <w:rFonts w:ascii="Calibri" w:cs="Calibri" w:eastAsia="Calibri" w:hAnsi="Calibri"/>
          <w:b/>
          <w:bCs/>
          <w:i w:val="false"/>
          <w:iCs w:val="false"/>
          <w:color w:val="0F766E"/>
          <w:sz w:val="26"/>
          <w:szCs w:val="26"/>
        </w:rPr>
        <w:t xml:space="preserve">Meals &amp; per diem</w:t>
      </w:r>
    </w:p>
    <w:p>
      <w:pPr>
        <w:spacing w:after="60" w:before="60" w:line="280"/>
      </w:pPr>
      <w:r>
        <w:rPr>
          <w:rFonts w:ascii="Calibri" w:cs="Calibri" w:eastAsia="Calibri" w:hAnsi="Calibri"/>
          <w:b w:val="false"/>
          <w:bCs w:val="false"/>
          <w:i w:val="false"/>
          <w:iCs w:val="false"/>
          <w:sz w:val="22"/>
          <w:szCs w:val="22"/>
        </w:rPr>
        <w:t xml:space="preserve">If a meal plan or per diem applies to a particular blitz, the amount and rules will be posted with the blitz in the app. </w:t>
      </w:r>
      <w:r>
        <w:rPr>
          <w:rFonts w:ascii="Calibri" w:cs="Calibri" w:eastAsia="Calibri" w:hAnsi="Calibri"/>
          <w:b/>
          <w:bCs/>
          <w:i/>
          <w:iCs/>
          <w:color w:val="C00000"/>
          <w:sz w:val="20"/>
          <w:szCs w:val="20"/>
        </w:rPr>
        <w:t xml:space="preserve">[REVIEW: confirm whether Kilo intends to offer a per diem and at what rate; this section is a placeholder until you set policy.]</w:t>
      </w:r>
    </w:p>
    <w:p>
      <w:pPr>
        <w:spacing w:after="60" w:before="200" w:line="280"/>
      </w:pPr>
      <w:r>
        <w:rPr>
          <w:rFonts w:ascii="Calibri" w:cs="Calibri" w:eastAsia="Calibri" w:hAnsi="Calibri"/>
          <w:b/>
          <w:bCs/>
          <w:i w:val="false"/>
          <w:iCs w:val="false"/>
          <w:color w:val="0F766E"/>
          <w:sz w:val="26"/>
          <w:szCs w:val="26"/>
        </w:rPr>
        <w:t xml:space="preserve">6. </w:t>
      </w:r>
      <w:r>
        <w:rPr>
          <w:rFonts w:ascii="Calibri" w:cs="Calibri" w:eastAsia="Calibri" w:hAnsi="Calibri"/>
          <w:b/>
          <w:bCs/>
          <w:i w:val="false"/>
          <w:iCs w:val="false"/>
          <w:color w:val="0F766E"/>
          <w:sz w:val="26"/>
          <w:szCs w:val="26"/>
        </w:rPr>
        <w:t xml:space="preserve">Expense submission</w:t>
      </w:r>
    </w:p>
    <w:p>
      <w:pPr>
        <w:spacing w:after="60" w:before="60" w:line="280"/>
      </w:pPr>
      <w:r>
        <w:rPr>
          <w:rFonts w:ascii="Calibri" w:cs="Calibri" w:eastAsia="Calibri" w:hAnsi="Calibri"/>
          <w:b w:val="false"/>
          <w:bCs w:val="false"/>
          <w:i w:val="false"/>
          <w:iCs w:val="false"/>
          <w:sz w:val="22"/>
          <w:szCs w:val="22"/>
        </w:rPr>
        <w:t xml:space="preserve">Reimbursable expenses go through the Reimbursement workflow in the Commission Application — not text messages, not personal Venmo, not paper receipts at the end of the trip.</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Get prior approval before incurring an expense you expect to be reimbursed. Section 3 of your IC Agreement is the rule: no reimbursement without written approval.</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Keep receipts and upload them when you submit. Approved reimbursements are paid on Company's standard reimbursement cycle.</w:t>
      </w:r>
    </w:p>
    <w:p>
      <w:pPr>
        <w:spacing w:after="60" w:before="200" w:line="280"/>
      </w:pPr>
      <w:r>
        <w:rPr>
          <w:rFonts w:ascii="Calibri" w:cs="Calibri" w:eastAsia="Calibri" w:hAnsi="Calibri"/>
          <w:b/>
          <w:bCs/>
          <w:i w:val="false"/>
          <w:iCs w:val="false"/>
          <w:color w:val="0F766E"/>
          <w:sz w:val="26"/>
          <w:szCs w:val="26"/>
        </w:rPr>
        <w:t xml:space="preserve">7. </w:t>
      </w:r>
      <w:r>
        <w:rPr>
          <w:rFonts w:ascii="Calibri" w:cs="Calibri" w:eastAsia="Calibri" w:hAnsi="Calibri"/>
          <w:b/>
          <w:bCs/>
          <w:i w:val="false"/>
          <w:iCs w:val="false"/>
          <w:color w:val="0F766E"/>
          <w:sz w:val="26"/>
          <w:szCs w:val="26"/>
        </w:rPr>
        <w:t xml:space="preserve">Conduct on blitz</w:t>
      </w:r>
    </w:p>
    <w:p>
      <w:pPr>
        <w:spacing w:after="60" w:before="60" w:line="280"/>
      </w:pPr>
      <w:r>
        <w:rPr>
          <w:rFonts w:ascii="Calibri" w:cs="Calibri" w:eastAsia="Calibri" w:hAnsi="Calibri"/>
          <w:b w:val="false"/>
          <w:bCs w:val="false"/>
          <w:i w:val="false"/>
          <w:iCs w:val="false"/>
          <w:sz w:val="22"/>
          <w:szCs w:val="22"/>
        </w:rPr>
        <w:t xml:space="preserve">You're always representing Kilo Energy on a blitz, even when you're off the clock — neighbors, customers, hotel staff, gas-station attendants will all associate you with the brand. The rules: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Follow the White Glove Code of Conduct in your IC Agreement at all times.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Don't solicit while inebriated, under the influence, or otherwise unfit to represent Company.</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Door-knocking only during posted blitz hours and within the assigned territory. No early-morning, late-night, or off-territory knocks unless Company says so.</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Treat the team like teammates. No harassment, discrimination, or hostile behavior. Disagreements happen; how you handle them matters.</w:t>
      </w:r>
    </w:p>
    <w:p>
      <w:pPr>
        <w:spacing w:after="60" w:before="200" w:line="280"/>
      </w:pPr>
      <w:r>
        <w:rPr>
          <w:rFonts w:ascii="Calibri" w:cs="Calibri" w:eastAsia="Calibri" w:hAnsi="Calibri"/>
          <w:b/>
          <w:bCs/>
          <w:i w:val="false"/>
          <w:iCs w:val="false"/>
          <w:color w:val="0F766E"/>
          <w:sz w:val="26"/>
          <w:szCs w:val="26"/>
        </w:rPr>
        <w:t xml:space="preserve">8. </w:t>
      </w:r>
      <w:r>
        <w:rPr>
          <w:rFonts w:ascii="Calibri" w:cs="Calibri" w:eastAsia="Calibri" w:hAnsi="Calibri"/>
          <w:b/>
          <w:bCs/>
          <w:i w:val="false"/>
          <w:iCs w:val="false"/>
          <w:color w:val="0F766E"/>
          <w:sz w:val="26"/>
          <w:szCs w:val="26"/>
        </w:rPr>
        <w:t xml:space="preserve">Removal from blitz</w:t>
      </w:r>
    </w:p>
    <w:p>
      <w:pPr>
        <w:spacing w:after="60" w:before="60" w:line="280"/>
      </w:pPr>
      <w:r>
        <w:rPr>
          <w:rFonts w:ascii="Calibri" w:cs="Calibri" w:eastAsia="Calibri" w:hAnsi="Calibri"/>
          <w:b w:val="false"/>
          <w:bCs w:val="false"/>
          <w:i w:val="false"/>
          <w:iCs w:val="false"/>
          <w:sz w:val="22"/>
          <w:szCs w:val="22"/>
        </w:rPr>
        <w:t xml:space="preserve">Company can remove a contractor mid-blitz for material breach of these Terms or the IC Agreement — including drugs, violence, fraud, harassment, or anything else that puts the team, customers, or the brand at risk. If that happens: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Your access to Company-provided housing, transportation, and meals ends as of removal.</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You're responsible for arranging and paying for your own travel home.</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Removal from a blitz can also trigger termination of the underlying IC Agreement under its termination provisions.</w:t>
      </w:r>
    </w:p>
    <w:p>
      <w:pPr>
        <w:pStyle w:val="ListParagraph"/>
        <w:numPr>
          <w:ilvl w:val="0"/>
          <w:numId w:val="2"/>
        </w:numPr>
        <w:spacing w:after="60" w:before="60" w:line="280"/>
      </w:pPr>
      <w:r>
        <w:rPr>
          <w:rFonts w:ascii="Calibri" w:cs="Calibri" w:eastAsia="Calibri" w:hAnsi="Calibri"/>
          <w:b w:val="false"/>
          <w:bCs w:val="false"/>
          <w:i w:val="false"/>
          <w:iCs w:val="false"/>
          <w:sz w:val="22"/>
          <w:szCs w:val="22"/>
        </w:rPr>
        <w:t xml:space="preserve">Earned commission on deals already submitted during the blitz follows the normal milestone rules; the chargeback provisions still apply if a deal cancels later.</w:t>
      </w:r>
    </w:p>
    <w:p>
      <w:pPr>
        <w:spacing w:after="60" w:before="200" w:line="280"/>
      </w:pPr>
      <w:r>
        <w:rPr>
          <w:rFonts w:ascii="Calibri" w:cs="Calibri" w:eastAsia="Calibri" w:hAnsi="Calibri"/>
          <w:b/>
          <w:bCs/>
          <w:i w:val="false"/>
          <w:iCs w:val="false"/>
          <w:color w:val="0F766E"/>
          <w:sz w:val="26"/>
          <w:szCs w:val="26"/>
        </w:rPr>
        <w:t xml:space="preserve">9. </w:t>
      </w:r>
      <w:r>
        <w:rPr>
          <w:rFonts w:ascii="Calibri" w:cs="Calibri" w:eastAsia="Calibri" w:hAnsi="Calibri"/>
          <w:b/>
          <w:bCs/>
          <w:i w:val="false"/>
          <w:iCs w:val="false"/>
          <w:color w:val="0F766E"/>
          <w:sz w:val="26"/>
          <w:szCs w:val="26"/>
        </w:rPr>
        <w:t xml:space="preserve">Acceptance</w:t>
      </w:r>
    </w:p>
    <w:p>
      <w:pPr>
        <w:spacing w:after="60" w:before="60" w:line="280"/>
      </w:pPr>
      <w:r>
        <w:rPr>
          <w:rFonts w:ascii="Calibri" w:cs="Calibri" w:eastAsia="Calibri" w:hAnsi="Calibri"/>
          <w:b w:val="false"/>
          <w:bCs w:val="false"/>
          <w:i w:val="false"/>
          <w:iCs w:val="false"/>
          <w:sz w:val="22"/>
          <w:szCs w:val="22"/>
        </w:rPr>
        <w:t xml:space="preserve">By tapping Accept in the Commission Application, you confirm you've read these Terms, agree to them, and that they are incorporated by reference into your existing Independent Contractor Agreement with JD Marketing LLC DBA Kilo Energy for the duration of the blitz you're signing up for.</w:t>
      </w:r>
    </w:p>
    <w:p>
      <w:pPr>
        <w:spacing w:after="60" w:before="60" w:line="280"/>
      </w:pPr>
      <w:r>
        <w:rPr>
          <w:rFonts w:ascii="Calibri" w:cs="Calibri" w:eastAsia="Calibri" w:hAnsi="Calibri"/>
          <w:b w:val="false"/>
          <w:bCs w:val="false"/>
          <w:i w:val="false"/>
          <w:iCs w:val="false"/>
          <w:sz w:val="22"/>
          <w:szCs w:val="22"/>
        </w:rPr>
        <w:t xml:space="preserve"/>
      </w:r>
    </w:p>
    <w:p>
      <w:pPr>
        <w:spacing w:after="120" w:before="240" w:line="280"/>
        <w:jc w:val="center"/>
      </w:pPr>
      <w:r>
        <w:rPr>
          <w:rFonts w:ascii="Calibri" w:cs="Calibri" w:eastAsia="Calibri" w:hAnsi="Calibri"/>
          <w:b w:val="false"/>
          <w:bCs w:val="false"/>
          <w:i w:val="false"/>
          <w:iCs w:val="false"/>
          <w:color w:val="9CA3AF"/>
          <w:sz w:val="20"/>
          <w:szCs w:val="20"/>
        </w:rPr>
        <w:t xml:space="preserve">— — — — — — — — — — — — — — — — — — — — — — — — — — — — — — —</w:t>
      </w:r>
    </w:p>
    <w:p>
      <w:pPr>
        <w:spacing w:after="60" w:before="0" w:line="280"/>
      </w:pPr>
      <w:r>
        <w:rPr>
          <w:rFonts w:ascii="Calibri" w:cs="Calibri" w:eastAsia="Calibri" w:hAnsi="Calibri"/>
          <w:b w:val="false"/>
          <w:bCs w:val="false"/>
          <w:i/>
          <w:iCs/>
          <w:color w:val="6B7280"/>
          <w:sz w:val="20"/>
          <w:szCs w:val="20"/>
        </w:rPr>
        <w:t xml:space="preserve">For printed copies (if applicable)</w:t>
      </w:r>
    </w:p>
    <w:p>
      <w:pPr>
        <w:spacing w:after="60" w:before="60" w:line="280"/>
      </w:pPr>
      <w:r>
        <w:rPr>
          <w:rFonts w:ascii="Calibri" w:cs="Calibri" w:eastAsia="Calibri" w:hAnsi="Calibri"/>
          <w:b w:val="false"/>
          <w:bCs w:val="false"/>
          <w:i w:val="false"/>
          <w:iCs w:val="false"/>
          <w:sz w:val="22"/>
          <w:szCs w:val="22"/>
        </w:rPr>
        <w:t xml:space="preserve"/>
      </w:r>
    </w:p>
    <w:p>
      <w:pPr>
        <w:spacing w:after="60" w:before="60" w:line="280"/>
      </w:pPr>
      <w:r>
        <w:rPr>
          <w:rFonts w:ascii="Calibri" w:cs="Calibri" w:eastAsia="Calibri" w:hAnsi="Calibri"/>
          <w:b w:val="false"/>
          <w:bCs w:val="false"/>
          <w:i w:val="false"/>
          <w:iCs w:val="false"/>
          <w:sz w:val="22"/>
          <w:szCs w:val="22"/>
        </w:rPr>
        <w:t xml:space="preserve">Blitz: ____________________________________________________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Blitz Dates: 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
      </w:r>
    </w:p>
    <w:p>
      <w:pPr>
        <w:spacing w:after="60" w:before="60" w:line="280"/>
      </w:pPr>
      <w:r>
        <w:rPr>
          <w:rFonts w:ascii="Calibri" w:cs="Calibri" w:eastAsia="Calibri" w:hAnsi="Calibri"/>
          <w:b w:val="false"/>
          <w:bCs w:val="false"/>
          <w:i w:val="false"/>
          <w:iCs w:val="false"/>
          <w:sz w:val="22"/>
          <w:szCs w:val="22"/>
        </w:rPr>
        <w:t xml:space="preserve">Contractor Name: __________________________________________</w:t>
      </w:r>
    </w:p>
    <w:p>
      <w:pPr>
        <w:spacing w:after="60" w:before="60" w:line="280"/>
      </w:pPr>
      <w:r>
        <w:rPr>
          <w:rFonts w:ascii="Calibri" w:cs="Calibri" w:eastAsia="Calibri" w:hAnsi="Calibri"/>
          <w:b w:val="false"/>
          <w:bCs w:val="false"/>
          <w:i w:val="false"/>
          <w:iCs w:val="false"/>
          <w:sz w:val="22"/>
          <w:szCs w:val="22"/>
        </w:rPr>
        <w:t xml:space="preserve">Contractor Signature: _____________________________________</w:t>
      </w:r>
    </w:p>
    <w:p>
      <w:pPr>
        <w:spacing w:after="60" w:before="60" w:line="280"/>
      </w:pPr>
      <w:r>
        <w:rPr>
          <w:rFonts w:ascii="Calibri" w:cs="Calibri" w:eastAsia="Calibri" w:hAnsi="Calibri"/>
          <w:b w:val="false"/>
          <w:bCs w:val="false"/>
          <w:i w:val="false"/>
          <w:iCs w:val="false"/>
          <w:sz w:val="22"/>
          <w:szCs w:val="22"/>
        </w:rPr>
        <w:t xml:space="preserve">Date: _____________________________________________________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
      </w:r>
    </w:p>
    <w:p>
      <w:pPr>
        <w:spacing w:after="60" w:before="60" w:line="280"/>
      </w:pPr>
      <w:r>
        <w:rPr>
          <w:rFonts w:ascii="Calibri" w:cs="Calibri" w:eastAsia="Calibri" w:hAnsi="Calibri"/>
          <w:b w:val="false"/>
          <w:bCs w:val="false"/>
          <w:i w:val="false"/>
          <w:iCs w:val="false"/>
          <w:sz w:val="22"/>
          <w:szCs w:val="22"/>
        </w:rPr>
        <w:t xml:space="preserve">For Company:</w:t>
      </w:r>
    </w:p>
    <w:p>
      <w:pPr>
        <w:spacing w:after="60" w:before="60" w:line="280"/>
      </w:pPr>
      <w:r>
        <w:rPr>
          <w:rFonts w:ascii="Calibri" w:cs="Calibri" w:eastAsia="Calibri" w:hAnsi="Calibri"/>
          <w:b w:val="false"/>
          <w:bCs w:val="false"/>
          <w:i w:val="false"/>
          <w:iCs w:val="false"/>
          <w:sz w:val="22"/>
          <w:szCs w:val="22"/>
        </w:rPr>
        <w:t xml:space="preserve">Signature: _________________________________________________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Name / Title: ______________________________________________</w:t>
      </w:r>
    </w:p>
    <w:p>
      <w:pPr>
        <w:spacing w:after="60" w:before="60" w:line="280"/>
      </w:pPr>
      <w:r>
        <w:rPr>
          <w:rFonts w:ascii="Calibri" w:cs="Calibri" w:eastAsia="Calibri" w:hAnsi="Calibri"/>
          <w:b w:val="false"/>
          <w:bCs w:val="false"/>
          <w:i w:val="false"/>
          <w:iCs w:val="false"/>
          <w:sz w:val="22"/>
          <w:szCs w:val="22"/>
        </w:rPr>
        <w:t xml:space="preserve">Date: _____________________________________________________</w:t>
      </w:r>
    </w:p>
    <w:sectPr>
      <w:footerReference w:type="default" r:id="rId7"/>
      <w:pgSz w:w="12240" w:h="15840" w:orient="portrait"/>
      <w:pgMar w:top="1080" w:right="108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8"/>
        <w:szCs w:val="18"/>
      </w:rPr>
      <w:t xml:space="preserve">Kilo Energy — Blitz Terms &amp; Conditions  ·  </w:t>
    </w:r>
    <w:r>
      <w:rPr>
        <w:rFonts w:ascii="Calibri" w:cs="Calibri" w:eastAsia="Calibri" w:hAnsi="Calibri"/>
        <w:color w:val="9CA3AF"/>
        <w:sz w:val="18"/>
        <w:szCs w:val="18"/>
      </w:rPr>
      <w:fldChar w:fldCharType="begin"/>
      <w:instrText xml:space="preserve">PAGE</w:instrText>
      <w:fldChar w:fldCharType="separate"/>
      <w:fldChar w:fldCharType="end"/>
    </w:r>
    <w:r>
      <w:rPr>
        <w:rFonts w:ascii="Calibri" w:cs="Calibri" w:eastAsia="Calibri" w:hAnsi="Calibri"/>
        <w:color w:val="9CA3AF"/>
        <w:sz w:val="18"/>
        <w:szCs w:val="18"/>
      </w:rPr>
      <w:t xml:space="preserve"> / </w:t>
    </w:r>
    <w:r>
      <w:rPr>
        <w:rFonts w:ascii="Calibri" w:cs="Calibri" w:eastAsia="Calibri" w:hAnsi="Calibri"/>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Kilo Energy — Blitz Terms &amp; Conditions</dc:title>
  <dc:creator>JD Marketing LLC DBA Kilo Energy</dc:creator>
  <dc:description>In-app consent flow for blitz signup.</dc:description>
  <cp:lastModifiedBy>Un-named</cp:lastModifiedBy>
  <cp:revision>1</cp:revision>
  <dcterms:created xsi:type="dcterms:W3CDTF">2026-05-08T02:22:41.302Z</dcterms:created>
  <dcterms:modified xsi:type="dcterms:W3CDTF">2026-05-08T02:22:41.302Z</dcterms:modified>
</cp:coreProperties>
</file>

<file path=docProps/custom.xml><?xml version="1.0" encoding="utf-8"?>
<Properties xmlns="http://schemas.openxmlformats.org/officeDocument/2006/custom-properties" xmlns:vt="http://schemas.openxmlformats.org/officeDocument/2006/docPropsVTypes"/>
</file>