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ogomesh-phase-2-team-summary"/>
    <w:p>
      <w:pPr>
        <w:pStyle w:val="Heading1"/>
      </w:pPr>
      <w:r>
        <w:t xml:space="preserve">LogoMesh Phase 2 — Team Summary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3, 2026 |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Josh (Project Lead)</w:t>
      </w:r>
    </w:p>
    <w:p>
      <w:r>
        <w:pict>
          <v:rect style="width:0;height:1.5pt" o:hralign="center" o:hrstd="t" o:hr="t"/>
        </w:pict>
      </w:r>
    </w:p>
    <w:bookmarkStart w:id="9" w:name="what-phase-2-requires"/>
    <w:p>
      <w:pPr>
        <w:pStyle w:val="Heading2"/>
      </w:pPr>
      <w:r>
        <w:t xml:space="preserve">What Phase 2 Requires</w:t>
      </w:r>
    </w:p>
    <w:p>
      <w:pPr>
        <w:pStyle w:val="FirstParagraph"/>
      </w:pPr>
      <w:r>
        <w:t xml:space="preserve">Phase 2 of AgentBeats asks us to build a</w:t>
      </w:r>
      <w:r>
        <w:t xml:space="preserve"> </w:t>
      </w:r>
      <w:r>
        <w:rPr>
          <w:b/>
          <w:bCs/>
        </w:rPr>
        <w:t xml:space="preserve">Purple Agent</w:t>
      </w:r>
      <w:r>
        <w:t xml:space="preserve"> </w:t>
      </w:r>
      <w:r>
        <w:t xml:space="preserve">— a generalized AI agent adapter that can compete across multiple benchmark repos simultaneously. Unlike Phase 1 (where we optimized LogoMesh for a single Software Testing track), Phase 2 rewards teams that can score across the most repos in the least time.</w:t>
      </w:r>
    </w:p>
    <w:p>
      <w:pPr>
        <w:pStyle w:val="BodyText"/>
      </w:pPr>
      <w:r>
        <w:t xml:space="preserve">The competition runs in two sprints. We must submit to each sprint window independently.</w:t>
      </w:r>
    </w:p>
    <w:p>
      <w:r>
        <w:pict>
          <v:rect style="width:0;height:1.5pt" o:hralign="center" o:hrstd="t" o:hr="t"/>
        </w:pict>
      </w:r>
    </w:p>
    <w:bookmarkEnd w:id="9"/>
    <w:bookmarkStart w:id="10" w:name="sprint-2-targets-ends-april-12"/>
    <w:p>
      <w:pPr>
        <w:pStyle w:val="Heading2"/>
      </w:pPr>
      <w:r>
        <w:t xml:space="preserve">Sprint 2 Targets — Ends April 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2112"/>
        <w:gridCol w:w="2992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target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In-car AI assistant (navigation tools, POI lookup)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τ²-Bench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service agent (airline, retail, telecom)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(if time)</w:t>
            </w:r>
          </w:p>
        </w:tc>
      </w:tr>
    </w:tbl>
    <w:p>
      <w:pPr>
        <w:pStyle w:val="BodyText"/>
      </w:pPr>
      <w:r>
        <w:t xml:space="preserve">Four other Sprint 2 repos are excluded: MLE-Bench requires 440GB RAM + GPU, OSWorld-Verified requires desktop GUI vision, FieldWorkArena requires video analytics, and MAizeBargAIn uses game-theoretic scoring we don’t support.</w:t>
      </w:r>
    </w:p>
    <w:p>
      <w:r>
        <w:pict>
          <v:rect style="width:0;height:1.5pt" o:hralign="center" o:hrstd="t" o:hr="t"/>
        </w:pict>
      </w:r>
    </w:p>
    <w:bookmarkEnd w:id="10"/>
    <w:bookmarkStart w:id="11" w:name="Xa04c0080f17137afcc86a827d554fafb7344a73"/>
    <w:p>
      <w:pPr>
        <w:pStyle w:val="Heading2"/>
      </w:pPr>
      <w:r>
        <w:t xml:space="preserve">Sprint 3 Targets — Opens April 13 (tentative)</w:t>
      </w:r>
    </w:p>
    <w:p>
      <w:pPr>
        <w:pStyle w:val="FirstParagraph"/>
      </w:pPr>
      <w:r>
        <w:t xml:space="preserve">Tracks confirmed:</w:t>
      </w:r>
      <w:r>
        <w:t xml:space="preserve"> </w:t>
      </w:r>
      <w:r>
        <w:rPr>
          <w:b/>
          <w:bCs/>
        </w:rPr>
        <w:t xml:space="preserve">Agent Safety</w:t>
      </w:r>
      <w:r>
        <w:t xml:space="preserve">,</w:t>
      </w:r>
      <w:r>
        <w:t xml:space="preserve"> </w:t>
      </w:r>
      <w:r>
        <w:rPr>
          <w:b/>
          <w:bCs/>
        </w:rPr>
        <w:t xml:space="preserve">Coding Agent</w:t>
      </w:r>
      <w:r>
        <w:t xml:space="preserve">,</w:t>
      </w:r>
      <w:r>
        <w:t xml:space="preserve"> </w:t>
      </w:r>
      <w:r>
        <w:rPr>
          <w:b/>
          <w:bCs/>
        </w:rPr>
        <w:t xml:space="preserve">Cybersecurity</w:t>
      </w:r>
      <w:r>
        <w:t xml:space="preserve">. Healthcare is not in Sprint 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4"/>
        <w:gridCol w:w="1007"/>
        <w:gridCol w:w="2015"/>
        <w:gridCol w:w="2160"/>
        <w:gridCol w:w="18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text-2-sql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generation with AST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detection &amp; recovery in corrupted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RCAbench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 root cause 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Terminal-Bench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terminal tasks in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(if confirmed)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compliance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network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build-sequence"/>
    <w:p>
      <w:pPr>
        <w:pStyle w:val="Heading2"/>
      </w:pPr>
      <w:r>
        <w:t xml:space="preserve">Build Sequence</w:t>
      </w:r>
    </w:p>
    <w:p>
      <w:pPr>
        <w:pStyle w:val="FirstParagraph"/>
      </w:pPr>
      <w:r>
        <w:t xml:space="preserve">The Purple Agent uses five output adapter types. We build them in ROI order — each adapter unlocks multiple repos:</w:t>
      </w:r>
    </w:p>
    <w:p>
      <w:pPr>
        <w:pStyle w:val="SourceCode"/>
      </w:pPr>
      <w:r>
        <w:rPr>
          <w:rStyle w:val="VerbatimChar"/>
        </w:rPr>
        <w:t xml:space="preserve">Step 1: Adapter B (JSON output)       → text-2-sql + Terminal-Bench 2.0</w:t>
      </w:r>
      <w:r>
        <w:br/>
      </w:r>
      <w:r>
        <w:rPr>
          <w:rStyle w:val="VerbatimChar"/>
        </w:rPr>
        <w:t xml:space="preserve">Step 2: Adapter C (multi-turn)        → AVER (Sprint 3) + CAR-bench (Sprint 2)</w:t>
      </w:r>
      <w:r>
        <w:br/>
      </w:r>
      <w:r>
        <w:rPr>
          <w:rStyle w:val="VerbatimChar"/>
        </w:rPr>
        <w:t xml:space="preserve">Step 3: Adapter C delta               → τ²-Bench (Sprint 2, if time)</w:t>
      </w:r>
      <w:r>
        <w:br/>
      </w:r>
      <w:r>
        <w:rPr>
          <w:rStyle w:val="VerbatimChar"/>
        </w:rPr>
        <w:t xml:space="preserve">Step 4: Adapter A (file write)        → RCAbench</w:t>
      </w:r>
      <w:r>
        <w:br/>
      </w:r>
      <w:r>
        <w:rPr>
          <w:rStyle w:val="VerbatimChar"/>
        </w:rPr>
        <w:t xml:space="preserve">Step 5: Adapter F (policy trace)      → Pi-Bench</w:t>
      </w:r>
      <w:r>
        <w:br/>
      </w:r>
      <w:r>
        <w:rPr>
          <w:rStyle w:val="VerbatimChar"/>
        </w:rPr>
        <w:t xml:space="preserve">Step 6: Adapter E floor (no live K8s) → NetArena</w:t>
      </w:r>
    </w:p>
    <w:p>
      <w:pPr>
        <w:pStyle w:val="FirstParagraph"/>
      </w:pPr>
      <w:r>
        <w:t xml:space="preserve">Each step reuses work from previous steps — this is why build order matters.</w:t>
      </w:r>
    </w:p>
    <w:p>
      <w:r>
        <w:pict>
          <v:rect style="width:0;height:1.5pt" o:hralign="center" o:hrstd="t" o:hr="t"/>
        </w:pict>
      </w:r>
    </w:p>
    <w:bookmarkEnd w:id="12"/>
    <w:bookmarkStart w:id="13" w:name="score-projection"/>
    <w:p>
      <w:pPr>
        <w:pStyle w:val="Heading2"/>
      </w:pPr>
      <w:r>
        <w:t xml:space="preserve">Score Projection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3 mandatory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text-2-sql + AVER + RCAbench + Pi-Bench + NetArena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Sprint 2 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CAR-bench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Terminal-Bench 2.0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TB2.0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Sprint 2 secondary (if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τ²-Bench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Conservative: ~365 points. Optimistic: ~480 points across 7–8 repos.</w:t>
      </w:r>
    </w:p>
    <w:p>
      <w:pPr>
        <w:pStyle w:val="BlockText"/>
      </w:pPr>
      <w:r>
        <w:t xml:space="preserve">Note: These scores are on each benchmark’s own internal scale (0–100 per repo), used as a relative comparison tool. They are not official competition point values.</w:t>
      </w:r>
    </w:p>
    <w:p>
      <w:r>
        <w:pict>
          <v:rect style="width:0;height:1.5pt" o:hralign="center" o:hrstd="t" o:hr="t"/>
        </w:pict>
      </w:r>
    </w:p>
    <w:bookmarkEnd w:id="13"/>
    <w:bookmarkStart w:id="14" w:name="key-risks"/>
    <w:p>
      <w:pPr>
        <w:pStyle w:val="Heading2"/>
      </w:pPr>
      <w:r>
        <w:t xml:space="preserve">Key Risks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2 deadline is April 12</w:t>
      </w:r>
      <w:r>
        <w:t xml:space="preserve"> </w:t>
      </w:r>
      <w:r>
        <w:t xml:space="preserve">— CAR-bench must be submitted first; τ²-Bench only if time permits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Sprint 3 roster is tentative</w:t>
      </w:r>
      <w:r>
        <w:t xml:space="preserve"> </w:t>
      </w:r>
      <w:r>
        <w:t xml:space="preserve">— monitor rdi.berkeley.edu/agentx-agentbeats.html for confirmation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Terminal-Bench 2.0 sprint assignment unconfirmed</w:t>
      </w:r>
      <w:r>
        <w:t xml:space="preserve"> </w:t>
      </w:r>
      <w:r>
        <w:t xml:space="preserve">— high-priority target once roster is announced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NetArena requires live Kubernetes</w:t>
      </w:r>
      <w:r>
        <w:t xml:space="preserve"> </w:t>
      </w:r>
      <w:r>
        <w:t xml:space="preserve">for full score — we are targeting a floor attempt (~20 pts) unless a local K8s solution is feasible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2026-04-04T01:42:56Z</dcterms:created>
  <dcterms:modified xsi:type="dcterms:W3CDTF">2026-04-04T01:42:56Z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