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LogoMesh — Phase 2 Team Brief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April 12, 2026</w:t>
      </w: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AUTHOR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AUDIENCE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DEADLINE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April 12, 2026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Josh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All Contributors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b33a3a"/>
                <w:sz w:val="18"/>
                <w:szCs w:val="18"/>
                <w:rtl w:val="0"/>
              </w:rPr>
              <w:t xml:space="preserve">May 3, 2026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5zrznuduk5u6" w:id="0"/>
      <w:bookmarkEnd w:id="0"/>
      <w:r>
        <w:rPr>
          <w:rtl w:val="0"/>
        </w:rPr>
        <w:t xml:space="preserve">Links:</w:t>
      </w:r>
    </w:p>
    <w:p w:rsidR="00000000" w:rsidDel="00000000" w:rsidP="00000000" w:rsidRDefault="00000000" w:rsidRPr="00000000" w14:paraId="0000000D">
      <w:pPr>
        <w:pStyle w:val="Heading2"/>
        <w:rPr>
          <w:sz w:val="20"/>
          <w:szCs w:val="20"/>
        </w:rPr>
      </w:pPr>
      <w:bookmarkStart w:colFirst="0" w:colLast="0" w:name="_heading=h.elr3jftip5d2" w:id="1"/>
      <w:bookmarkEnd w:id="1"/>
      <w:hyperlink r:id="rId7">
        <w:r>
          <w:rPr>
            <w:color w:val="1155cc"/>
            <w:sz w:val="20"/>
            <w:szCs w:val="20"/>
            <w:u w:val="single"/>
            <w:rtl w:val="0"/>
          </w:rPr>
          <w:t xml:space="preserve">https://linear.app/logomesh-agentbeats-phase-2/project/logomesh-agentbeats-phase-2-generalized-purple-agent-fb38e059a700/overview</w:t>
        </w:r>
      </w:hyperlink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sz w:val="20"/>
          <w:szCs w:val="20"/>
        </w:rPr>
      </w:pPr>
      <w:bookmarkStart w:colFirst="0" w:colLast="0" w:name="_heading=h.ivqf8salw3ce" w:id="2"/>
      <w:bookmarkEnd w:id="2"/>
      <w:hyperlink r:id="rId8">
        <w:r>
          <w:rPr>
            <w:color w:val="1155cc"/>
            <w:sz w:val="20"/>
            <w:szCs w:val="20"/>
            <w:u w:val="single"/>
            <w:rtl w:val="0"/>
          </w:rPr>
          <w:t xml:space="preserve">https://github.com/LogoMesh/LogoMesh/tree/main-generalized-phase2-submodules</w:t>
        </w:r>
      </w:hyperlink>
      <w:r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rtl w:val="0"/>
        </w:rPr>
        <w:t xml:space="preserve">In a Nutshell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LogoMesh is an AI evaluation platform that judges AI-written code by actually running it, attacking it, and scoring </w:t>
      </w:r>
      <w:r>
        <w:rPr>
          <w:rtl w:val="0"/>
        </w:rPr>
        <w:t xml:space="preserve">it. In Phase 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1, we built the benchmark itself (the "Green Agent") and won 1st place in the Software Testing Agent track at Berkeley RDI AgentBeats, competing against 1,300+ teams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In Phase 2, we flip sides. We are now building the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Purple Agen</w:t>
      </w:r>
      <w:r>
        <w:rPr>
          <w:b w:val="1"/>
          <w:bCs w:val="1"/>
          <w:rtl w:val="0"/>
        </w:rPr>
        <w:t xml:space="preserve">t: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an AI that competes </w:t>
      </w:r>
      <w:r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0"/>
        </w:rPr>
        <w:t xml:space="preserve">inside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external benchmarks we didn't design. The goal is to make LogoMesh's Purple Agent general enough to score well across 7–8 different benchmark repos using a single codebase and five reusable output adapters.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The core insight: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Every Phase 2 benchmark uses the same A2A (Agent-to-Agent) JSON-RPC protocol. What differs is only the output schema. Build five adapters, cover eight repos.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rtl w:val="0"/>
        </w:rPr>
        <w:t xml:space="preserve">Resources</w:t>
      </w: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Resource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Link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GitHub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(active branch)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hyperlink r:id="rId9">
              <w:r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LogoMesh/LogoMesh — main-generalized-phase2-submodules</w:t>
              </w:r>
            </w:hyperlink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Linear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(issues + project)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hyperlink r:id="rId10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LogoMesh AgentBeats Phase 2 — Generalized Purple Agent</w:t>
              </w:r>
            </w:hyperlink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Foundational paper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Contextual Debt: A Protocol for Measurable Contextual Integrity</w:t>
            </w: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(v2.3) — docs/00-Strategy/IP/02-22-2025-Contextual-Debt-Paper-Revised-2.3-Jules.pdf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rtl w:val="0"/>
        </w:rPr>
        <w:t xml:space="preserve">Competition Context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AgentBeats Phase 2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Berkeley RDI AgentX (</w:t>
      </w:r>
      <w:hyperlink r:id="rId11">
        <w:r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rdi.berkeley.edu/agentx-agentbeats.html</w:t>
        </w:r>
      </w:hyperlink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)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competition runs in sprints. Each sprint opens a set of external benchmark repos ("Green Agent repos"). Teams submit a Purple Agent that the Green Agent evaluates. Points accumulate across sprints.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3120"/>
        <w:gridCol w:w="4368"/>
        <w:tblGridChange w:id="0">
          <w:tblGrid>
            <w:gridCol w:w="1872"/>
            <w:gridCol w:w="3120"/>
            <w:gridCol w:w="4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Window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Sprint 2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TBD (tentative)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666666"/>
                <w:sz w:val="20"/>
                <w:szCs w:val="20"/>
                <w:rtl w:val="0"/>
              </w:rPr>
              <w:t xml:space="preserve">TBD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Sprint 3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TBD (tentative)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6b3c"/>
                <w:sz w:val="20"/>
                <w:szCs w:val="20"/>
                <w:rtl w:val="0"/>
              </w:rPr>
              <w:t xml:space="preserve">TBD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Sprint 4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May 4+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TBD</w:t>
            </w:r>
            <w:r>
              <w:rPr>
                <w:rtl w:val="0"/>
              </w:rPr>
            </w:r>
          </w:p>
        </w:tc>
      </w:tr>
    </w:tbl>
    <w:p>
      <w:pPr/>
    </w:p>
    <w:p>
      <w:pPr/>
      <w:r>
        <w:t>The full Sprint 2 roster has 6 repos. We are targeting only CAR-bench and τ²-Bench. The other four are intentionally skipped for the reasons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Repo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Our stance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Reason for exclusion</w:t>
            </w:r>
          </w:p>
        </w:tc>
      </w:tr>
      <w:tr>
        <w:tc>
          <w:tcPr>
            <w:tcW w:type="dxa" w:w="2340"/>
          </w:tcPr>
          <w:p>
            <w:r>
              <w:t>CAR-bench</w:t>
            </w:r>
          </w:p>
        </w:tc>
        <w:tc>
          <w:tcPr>
            <w:tcW w:type="dxa" w:w="2340"/>
          </w:tcPr>
          <w:p>
            <w:r>
              <w:t>Computer Use &amp; Web Agent</w:t>
            </w:r>
          </w:p>
        </w:tc>
        <w:tc>
          <w:tcPr>
            <w:tcW w:type="dxa" w:w="2340"/>
          </w:tcPr>
          <w:p>
            <w:r>
              <w:t>Primary target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τ²-Bench</w:t>
            </w:r>
          </w:p>
        </w:tc>
        <w:tc>
          <w:tcPr>
            <w:tcW w:type="dxa" w:w="2340"/>
          </w:tcPr>
          <w:p>
            <w:r>
              <w:t>Custom Track</w:t>
            </w:r>
          </w:p>
        </w:tc>
        <w:tc>
          <w:tcPr>
            <w:tcW w:type="dxa" w:w="2340"/>
          </w:tcPr>
          <w:p>
            <w:r>
              <w:t>Secondary target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FieldWorkArena</w:t>
            </w:r>
          </w:p>
        </w:tc>
        <w:tc>
          <w:tcPr>
            <w:tcW w:type="dxa" w:w="2340"/>
          </w:tcPr>
          <w:p>
            <w:r>
              <w:t>Research Agent</w:t>
            </w:r>
          </w:p>
        </w:tc>
        <w:tc>
          <w:tcPr>
            <w:tcW w:type="dxa" w:w="2340"/>
          </w:tcPr>
          <w:p>
            <w:r>
              <w:t>Excluded</w:t>
            </w:r>
          </w:p>
        </w:tc>
        <w:tc>
          <w:tcPr>
            <w:tcW w:type="dxa" w:w="2340"/>
          </w:tcPr>
          <w:p>
            <w:r>
              <w:t>Video-domain knowledge required; not in LogoMesh skill set</w:t>
            </w:r>
          </w:p>
        </w:tc>
      </w:tr>
      <w:tr>
        <w:tc>
          <w:tcPr>
            <w:tcW w:type="dxa" w:w="2340"/>
          </w:tcPr>
          <w:p>
            <w:r>
              <w:t>MLE-Bench</w:t>
            </w:r>
          </w:p>
        </w:tc>
        <w:tc>
          <w:tcPr>
            <w:tcW w:type="dxa" w:w="2340"/>
          </w:tcPr>
          <w:p>
            <w:r>
              <w:t>Research Agent</w:t>
            </w:r>
          </w:p>
        </w:tc>
        <w:tc>
          <w:tcPr>
            <w:tcW w:type="dxa" w:w="2340"/>
          </w:tcPr>
          <w:p>
            <w:r>
              <w:t>Excluded</w:t>
            </w:r>
          </w:p>
        </w:tc>
        <w:tc>
          <w:tcPr>
            <w:tcW w:type="dxa" w:w="2340"/>
          </w:tcPr>
          <w:p>
            <w:r>
              <w:t>Extreme compute requirements; infeasible in sandbox</w:t>
            </w:r>
          </w:p>
        </w:tc>
      </w:tr>
      <w:tr>
        <w:tc>
          <w:tcPr>
            <w:tcW w:type="dxa" w:w="2340"/>
          </w:tcPr>
          <w:p>
            <w:r>
              <w:t>MAizeBargAIn</w:t>
            </w:r>
          </w:p>
        </w:tc>
        <w:tc>
          <w:tcPr>
            <w:tcW w:type="dxa" w:w="2340"/>
          </w:tcPr>
          <w:p>
            <w:r>
              <w:t>Multi-agent Evaluation</w:t>
            </w:r>
          </w:p>
        </w:tc>
        <w:tc>
          <w:tcPr>
            <w:tcW w:type="dxa" w:w="2340"/>
          </w:tcPr>
          <w:p>
            <w:r>
              <w:t>Excluded</w:t>
            </w:r>
          </w:p>
        </w:tc>
        <w:tc>
          <w:tcPr>
            <w:tcW w:type="dxa" w:w="2340"/>
          </w:tcPr>
          <w:p>
            <w:r>
              <w:t>Game-theory domain expertise required</w:t>
            </w:r>
          </w:p>
        </w:tc>
      </w:tr>
      <w:tr>
        <w:tc>
          <w:tcPr>
            <w:tcW w:type="dxa" w:w="2340"/>
          </w:tcPr>
          <w:p>
            <w:r>
              <w:t>OSWorld-Verified</w:t>
            </w:r>
          </w:p>
        </w:tc>
        <w:tc>
          <w:tcPr>
            <w:tcW w:type="dxa" w:w="2340"/>
          </w:tcPr>
          <w:p>
            <w:r>
              <w:t>Computer Use &amp; Web Agent</w:t>
            </w:r>
          </w:p>
        </w:tc>
        <w:tc>
          <w:tcPr>
            <w:tcW w:type="dxa" w:w="2340"/>
          </w:tcPr>
          <w:p>
            <w:r>
              <w:t>Excluded</w:t>
            </w:r>
          </w:p>
        </w:tc>
        <w:tc>
          <w:tcPr>
            <w:tcW w:type="dxa" w:w="2340"/>
          </w:tcPr>
          <w:p>
            <w:r>
              <w:t>Vision capability required; not in Purple Agent</w:t>
            </w:r>
          </w:p>
        </w:tc>
      </w:tr>
    </w:tbl>
    <w:p>
      <w:pPr/>
    </w:p>
    <w:p w:rsidR="00000000" w:rsidDel="00000000" w:rsidP="00000000" w:rsidRDefault="00000000" w:rsidRPr="00000000" w14:paraId="0000002E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Sprint 3 tracks: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Agent Safety · Coding Agent · Cybersecurity Agent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rtl w:val="0"/>
        </w:rPr>
        <w:t xml:space="preserve">What We're Building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Five output adapters wired into a single Purple Agent. The A2A protocol layer is shared; adapters handle the output format each benchmark expects.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4"/>
        <w:gridCol w:w="3120"/>
        <w:gridCol w:w="4836"/>
        <w:tblGridChange w:id="0">
          <w:tblGrid>
            <w:gridCol w:w="1404"/>
            <w:gridCol w:w="3120"/>
            <w:gridCol w:w="48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Adapter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 type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Benchmarks covered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JSON response dict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text-2-sql, Terminal-Bench 2.0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Multi-turn tool calls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AVER, CAR-bench, τ²-Bench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File write (loc.json)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RCAbench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Policy trace + verdict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Pi-Bench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 floor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Reasoned output, no live infra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NetArena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7">
      <w:pPr>
        <w:spacing w:after="100" w:lineRule="auto"/>
        <w:rPr/>
      </w:pPr>
      <w:r>
        <w:t>Build sequence: B core → C anchor (AVER) → C delta 1 (CAR-bench) → A (RCAbench) → F (Pi-Bench) → E floor (NetArena) → C delta 2 (τ²-Bench) → B extension (Terminal-Bench 2.0, conditional)</w:t>
      </w:r>
    </w:p>
    <w:p w:rsidR="00000000" w:rsidDel="00000000" w:rsidP="00000000" w:rsidRDefault="00000000" w:rsidRPr="00000000" w14:paraId="00000048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rtl w:val="0"/>
        </w:rPr>
        <w:t xml:space="preserve">Score Projections</w:t>
      </w: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4680"/>
        <w:gridCol w:w="1560"/>
        <w:tblGridChange w:id="0">
          <w:tblGrid>
            <w:gridCol w:w="3120"/>
            <w:gridCol w:w="468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Repos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score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Sprint 3 mandatory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text-2-sql + AVER + RCAbench + Pi-Bench + NetArena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310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+ CAR-bench (Sprint 2)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+ CAR-bench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365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 (conservative)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+ Terminal-Bench 2.0 confirmed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+ TB2.0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435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+ τ²-Bench completed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+ τ²-Bench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480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 (optimistic)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rtl w:val="0"/>
        </w:rPr>
        <w:t xml:space="preserve">Priority Issues (Linear)</w:t>
      </w:r>
      <w:r>
        <w:rPr>
          <w:rtl w:val="0"/>
        </w:rPr>
      </w:r>
    </w:p>
    <w:p w:rsidR="00000000" w:rsidDel="00000000" w:rsidP="00000000" w:rsidRDefault="00000000" w:rsidRPr="00000000" w14:paraId="0000005B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All issues are unassigned. Pick them up in order — each adapter is a dependency for the ones below it.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4"/>
        <w:gridCol w:w="6240"/>
        <w:gridCol w:w="1716"/>
        <w:tblGridChange w:id="0">
          <w:tblGrid>
            <w:gridCol w:w="1404"/>
            <w:gridCol w:w="6240"/>
            <w:gridCol w:w="17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Issue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hyperlink r:id="rId12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LOG-47</w:t>
              </w:r>
            </w:hyperlink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A2A endpoint registration + task-type router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b33a3a"/>
                <w:sz w:val="20"/>
                <w:szCs w:val="20"/>
                <w:rtl w:val="0"/>
              </w:rPr>
              <w:t xml:space="preserve">Urgent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hyperlink r:id="rId13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LOG-48</w:t>
              </w:r>
            </w:hyperlink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Confirm Sprint 3 roster when it opens April 13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b33a3a"/>
                <w:sz w:val="20"/>
                <w:szCs w:val="20"/>
                <w:rtl w:val="0"/>
              </w:rPr>
              <w:t xml:space="preserve">Urgent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hyperlink r:id="rId14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LOG-49</w:t>
              </w:r>
            </w:hyperlink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Adapter B — text-2-sql JSON handler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b33a3a"/>
                <w:sz w:val="20"/>
                <w:szCs w:val="20"/>
                <w:rtl w:val="0"/>
              </w:rPr>
              <w:t xml:space="preserve">Urgent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hyperlink r:id="rId15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LOG-50</w:t>
              </w:r>
            </w:hyperlink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CAR-bench — Sprint 2 submission (due end of April)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b33a3a"/>
                <w:sz w:val="20"/>
                <w:szCs w:val="20"/>
                <w:rtl w:val="0"/>
              </w:rPr>
              <w:t xml:space="preserve">Urgent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hyperlink r:id="rId16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LOG-51</w:t>
              </w:r>
            </w:hyperlink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Adapter C — AVER multi-turn anchor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b33a3a"/>
                <w:sz w:val="20"/>
                <w:szCs w:val="20"/>
                <w:rtl w:val="0"/>
              </w:rPr>
              <w:t xml:space="preserve">Urgent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hyperlink r:id="rId17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LOG-52</w:t>
              </w:r>
            </w:hyperlink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Adapter A — RCAbench MCTS localization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b87333"/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hyperlink r:id="rId18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LOG-53</w:t>
              </w:r>
            </w:hyperlink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Adapter F — Pi-Bench policy trace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b87333"/>
                <w:sz w:val="20"/>
                <w:szCs w:val="20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hyperlink r:id="rId19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LOG-54</w:t>
              </w:r>
            </w:hyperlink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Adapter E floor — NetArena kubectl reasoning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Normal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hyperlink r:id="rId20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LOG-55</w:t>
              </w:r>
            </w:hyperlink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τ²-Bench Pass 3 + dual-control delta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Normal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hyperlink r:id="rId21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LOG-56</w:t>
              </w:r>
            </w:hyperlink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KinD cluster feasibility check for NetArena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240" w:lineRule="auto"/>
        <w:rPr/>
      </w:pPr>
      <w:r>
        <w:rPr>
          <w:rFonts w:ascii="Arial" w:cs="Arial" w:eastAsia="Arial" w:hAnsi="Arial"/>
          <w:rtl w:val="0"/>
        </w:rPr>
        <w:t xml:space="preserve">What Already Exists</w:t>
      </w:r>
      <w:r>
        <w:rPr>
          <w:rtl w:val="0"/>
        </w:rPr>
      </w:r>
    </w:p>
    <w:p w:rsidR="00000000" w:rsidDel="00000000" w:rsidP="00000000" w:rsidRDefault="00000000" w:rsidRPr="00000000" w14:paraId="00000080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Purple Agent is not being built from scratch. LogoMesh already has:</w:t>
      </w:r>
      <w:r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A2A server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running on port 9010 — conforms to AgentBeats spec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Multi-turn conversation handler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GenericDefenderExecutor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— foundation for Adapter C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MCTS Red Agent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src/red_logic/orchestrator.py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— UCB1 vulnerability hunting transfers directly to RCAbench (Adapter A)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Docker sandbox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— same environment as Terminal-Bench 2.0; no new infra needed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uv + AgentBeats SDK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— already the standard stack used by all Phase 2 benchmarks</w:t>
      </w:r>
    </w:p>
    <w:p w:rsidR="00000000" w:rsidDel="00000000" w:rsidP="00000000" w:rsidRDefault="00000000" w:rsidRPr="00000000" w14:paraId="00000087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8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adapters extend what exists. No rebuild from scratch.</w:t>
      </w:r>
      <w:r>
        <w:rPr>
          <w:rtl w:val="0"/>
        </w:rPr>
      </w:r>
    </w:p>
    <w:p w:rsidR="00000000" w:rsidDel="00000000" w:rsidP="00000000" w:rsidRDefault="00000000" w:rsidRPr="00000000" w14:paraId="00000089">
      <w:pPr>
        <w:spacing w:after="1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aaaaa" w:space="4" w:sz="4" w:val="single"/>
        </w:pBdr>
        <w:spacing w:before="240" w:lineRule="auto"/>
        <w:rPr/>
      </w:pPr>
      <w:r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For full implementation details, see the </w:t>
      </w:r>
      <w:r>
        <w:rPr>
          <w:rFonts w:ascii="Arial" w:cs="Arial" w:eastAsia="Arial" w:hAnsi="Arial"/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Optimal Path Synthesis v2</w:t>
      </w:r>
      <w:r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and the </w:t>
      </w:r>
      <w:r>
        <w:rPr>
          <w:rFonts w:ascii="Arial" w:cs="Arial" w:eastAsia="Arial" w:hAnsi="Arial"/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Corrected Competitive Analysis</w:t>
      </w:r>
      <w:r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in this folder.</w:t>
      </w:r>
      <w:r>
        <w:rPr>
          <w:rtl w:val="0"/>
        </w:rPr>
      </w:r>
    </w:p>
    <w:p>
      <w:pPr>
        <w:pStyle w:val="Heading2"/>
      </w:pPr>
      <w:r>
        <w:t>Adapter Strategy — Cost and ROI</w:t>
      </w:r>
    </w:p>
    <w:p>
      <w:pPr/>
      <w:r>
        <w:t>Build order is deadline-aware first, then ROI, then adapter reuse. "Units" are relative implementation effort estimates.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Adapter increment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Repos unlocked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Expected points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ROI (pts/unit)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B core</w:t>
            </w:r>
          </w:p>
        </w:tc>
        <w:tc>
          <w:tcPr>
            <w:tcW w:type="dxa" w:w="1560"/>
          </w:tcPr>
          <w:p>
            <w:r>
              <w:t>text-2-sql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85</w:t>
            </w:r>
          </w:p>
        </w:tc>
        <w:tc>
          <w:tcPr>
            <w:tcW w:type="dxa" w:w="1560"/>
          </w:tcPr>
          <w:p>
            <w:r>
              <w:t>85.0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C anchor</w:t>
            </w:r>
          </w:p>
        </w:tc>
        <w:tc>
          <w:tcPr>
            <w:tcW w:type="dxa" w:w="1560"/>
          </w:tcPr>
          <w:p>
            <w:r>
              <w:t>AVER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80</w:t>
            </w:r>
          </w:p>
        </w:tc>
        <w:tc>
          <w:tcPr>
            <w:tcW w:type="dxa" w:w="1560"/>
          </w:tcPr>
          <w:p>
            <w:r>
              <w:t>40.0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C delta 1</w:t>
            </w:r>
          </w:p>
        </w:tc>
        <w:tc>
          <w:tcPr>
            <w:tcW w:type="dxa" w:w="1560"/>
          </w:tcPr>
          <w:p>
            <w:r>
              <w:t>CAR-bench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55</w:t>
            </w:r>
          </w:p>
        </w:tc>
        <w:tc>
          <w:tcPr>
            <w:tcW w:type="dxa" w:w="1560"/>
          </w:tcPr>
          <w:p>
            <w:r>
              <w:t>55.0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RCAbench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70</w:t>
            </w:r>
          </w:p>
        </w:tc>
        <w:tc>
          <w:tcPr>
            <w:tcW w:type="dxa" w:w="1560"/>
          </w:tcPr>
          <w:p>
            <w:r>
              <w:t>35.0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F</w:t>
            </w:r>
          </w:p>
        </w:tc>
        <w:tc>
          <w:tcPr>
            <w:tcW w:type="dxa" w:w="1560"/>
          </w:tcPr>
          <w:p>
            <w:r>
              <w:t>Pi-Bench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55</w:t>
            </w:r>
          </w:p>
        </w:tc>
        <w:tc>
          <w:tcPr>
            <w:tcW w:type="dxa" w:w="1560"/>
          </w:tcPr>
          <w:p>
            <w:r>
              <w:t>27.5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E floor</w:t>
            </w:r>
          </w:p>
        </w:tc>
        <w:tc>
          <w:tcPr>
            <w:tcW w:type="dxa" w:w="1560"/>
          </w:tcPr>
          <w:p>
            <w:r>
              <w:t>NetArena (floor)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20</w:t>
            </w:r>
          </w:p>
        </w:tc>
        <w:tc>
          <w:tcPr>
            <w:tcW w:type="dxa" w:w="1560"/>
          </w:tcPr>
          <w:p>
            <w:r>
              <w:t>10.0</w:t>
            </w:r>
          </w:p>
        </w:tc>
      </w:tr>
      <w:tr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C delta 2</w:t>
            </w:r>
          </w:p>
        </w:tc>
        <w:tc>
          <w:tcPr>
            <w:tcW w:type="dxa" w:w="1560"/>
          </w:tcPr>
          <w:p>
            <w:r>
              <w:t>τ²-Bench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45</w:t>
            </w:r>
          </w:p>
        </w:tc>
        <w:tc>
          <w:tcPr>
            <w:tcW w:type="dxa" w:w="1560"/>
          </w:tcPr>
          <w:p>
            <w:r>
              <w:t>22.5</w:t>
            </w:r>
          </w:p>
        </w:tc>
      </w:tr>
      <w:tr>
        <w:tc>
          <w:tcPr>
            <w:tcW w:type="dxa" w:w="1560"/>
          </w:tcPr>
          <w:p>
            <w:r>
              <w:t>8 (conditional)</w:t>
            </w:r>
          </w:p>
        </w:tc>
        <w:tc>
          <w:tcPr>
            <w:tcW w:type="dxa" w:w="1560"/>
          </w:tcPr>
          <w:p>
            <w:r>
              <w:t>B extension</w:t>
            </w:r>
          </w:p>
        </w:tc>
        <w:tc>
          <w:tcPr>
            <w:tcW w:type="dxa" w:w="1560"/>
          </w:tcPr>
          <w:p>
            <w:r>
              <w:t>Terminal-Bench 2.0</w:t>
            </w:r>
          </w:p>
        </w:tc>
        <w:tc>
          <w:tcPr>
            <w:tcW w:type="dxa" w:w="1560"/>
          </w:tcPr>
          <w:p>
            <w:r>
              <w:t>1–2</w:t>
            </w:r>
          </w:p>
        </w:tc>
        <w:tc>
          <w:tcPr>
            <w:tcW w:type="dxa" w:w="1560"/>
          </w:tcPr>
          <w:p>
            <w:r>
              <w:t>70</w:t>
            </w:r>
          </w:p>
        </w:tc>
        <w:tc>
          <w:tcPr>
            <w:tcW w:type="dxa" w:w="1560"/>
          </w:tcPr>
          <w:p>
            <w:r>
              <w:t>35.0–70.0</w:t>
            </w:r>
          </w:p>
        </w:tc>
      </w:tr>
    </w:tbl>
    <w:p>
      <w:pPr/>
    </w:p>
    <w:p>
      <w:pPr/>
      <w:r>
        <w:t>Implementation sequence:</w:t>
      </w:r>
    </w:p>
    <w:p>
      <w:pPr/>
      <w:r>
        <w:t>1. B core</w:t>
      </w:r>
    </w:p>
    <w:p>
      <w:pPr/>
      <w:r>
        <w:t>2. C anchor</w:t>
      </w:r>
    </w:p>
    <w:p>
      <w:pPr/>
      <w:r>
        <w:t>3. C delta 1 — submit CAR-bench before Sprint 2 closes</w:t>
      </w:r>
    </w:p>
    <w:p>
      <w:pPr/>
      <w:r>
        <w:t>4. A</w:t>
      </w:r>
    </w:p>
    <w:p>
      <w:pPr/>
      <w:r>
        <w:t>5. F</w:t>
      </w:r>
    </w:p>
    <w:p>
      <w:pPr/>
      <w:r>
        <w:t>6. E floor</w:t>
      </w:r>
    </w:p>
    <w:p>
      <w:pPr/>
      <w:r>
        <w:t>7. C delta 2 — τ²-Bench if schedule allows</w:t>
      </w:r>
    </w:p>
    <w:p>
      <w:pPr/>
      <w:r>
        <w:t>8. B extension — Terminal-Bench 2.0 only after roster confirmation</w:t>
      </w:r>
    </w:p>
    <w:p>
      <w:pPr/>
    </w:p>
    <w:p>
      <w:pPr>
        <w:pStyle w:val="Heading2"/>
      </w:pPr>
      <w:r>
        <w:t>Target Portfolio (with Confidence)</w:t>
      </w:r>
    </w:p>
    <w:p>
      <w:pPr/>
      <w:r>
        <w:t>Sprint 2 carry-over priorities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Repo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Adapter path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Expected score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t>CAR-bench</w:t>
            </w:r>
          </w:p>
        </w:tc>
        <w:tc>
          <w:tcPr>
            <w:tcW w:type="dxa" w:w="1872"/>
          </w:tcPr>
          <w:p>
            <w:r>
              <w:t>C delta (after AVER anchor)</w:t>
            </w:r>
          </w:p>
        </w:tc>
        <w:tc>
          <w:tcPr>
            <w:tcW w:type="dxa" w:w="1872"/>
          </w:tcPr>
          <w:p>
            <w:r>
              <w:t>55</w:t>
            </w:r>
          </w:p>
        </w:tc>
        <w:tc>
          <w:tcPr>
            <w:tcW w:type="dxa" w:w="1872"/>
          </w:tcPr>
          <w:p>
            <w:r>
              <w:t>Medium-High</w:t>
            </w:r>
          </w:p>
        </w:tc>
        <w:tc>
          <w:tcPr>
            <w:tcW w:type="dxa" w:w="1872"/>
          </w:tcPr>
          <w:p>
            <w:r>
              <w:t>Binary cliff at reward ≥ 0.99; primary Sprint 2 target</w:t>
            </w:r>
          </w:p>
        </w:tc>
      </w:tr>
      <w:tr>
        <w:tc>
          <w:tcPr>
            <w:tcW w:type="dxa" w:w="1872"/>
          </w:tcPr>
          <w:p>
            <w:r>
              <w:t>τ²-Bench</w:t>
            </w:r>
          </w:p>
        </w:tc>
        <w:tc>
          <w:tcPr>
            <w:tcW w:type="dxa" w:w="1872"/>
          </w:tcPr>
          <w:p>
            <w:r>
              <w:t>C delta 2 (after CAR-bench)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Dual-control complexity; secondary if time remains</w:t>
            </w:r>
          </w:p>
        </w:tc>
      </w:tr>
    </w:tbl>
    <w:p>
      <w:pPr/>
    </w:p>
    <w:p>
      <w:pPr/>
      <w:r>
        <w:t>Sprint 3 target set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Repo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Adapter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Expected score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t>text-2-sql</w:t>
            </w:r>
          </w:p>
        </w:tc>
        <w:tc>
          <w:tcPr>
            <w:tcW w:type="dxa" w:w="1560"/>
          </w:tcPr>
          <w:p>
            <w:r>
              <w:t>Coding Agent</w:t>
            </w:r>
          </w:p>
        </w:tc>
        <w:tc>
          <w:tcPr>
            <w:tcW w:type="dxa" w:w="1560"/>
          </w:tcPr>
          <w:p>
            <w:r>
              <w:t>B (JSON)</w:t>
            </w:r>
          </w:p>
        </w:tc>
        <w:tc>
          <w:tcPr>
            <w:tcW w:type="dxa" w:w="1560"/>
          </w:tcPr>
          <w:p>
            <w:r>
              <w:t>85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Likely confirmed</w:t>
            </w:r>
          </w:p>
        </w:tc>
      </w:tr>
      <w:tr>
        <w:tc>
          <w:tcPr>
            <w:tcW w:type="dxa" w:w="1560"/>
          </w:tcPr>
          <w:p>
            <w:r>
              <w:t>AVER</w:t>
            </w:r>
          </w:p>
        </w:tc>
        <w:tc>
          <w:tcPr>
            <w:tcW w:type="dxa" w:w="1560"/>
          </w:tcPr>
          <w:p>
            <w:r>
              <w:t>Agent Safety</w:t>
            </w:r>
          </w:p>
        </w:tc>
        <w:tc>
          <w:tcPr>
            <w:tcW w:type="dxa" w:w="1560"/>
          </w:tcPr>
          <w:p>
            <w:r>
              <w:t>C (multi-turn)</w:t>
            </w:r>
          </w:p>
        </w:tc>
        <w:tc>
          <w:tcPr>
            <w:tcW w:type="dxa" w:w="1560"/>
          </w:tcPr>
          <w:p>
            <w:r>
              <w:t>80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Likely confirmed</w:t>
            </w:r>
          </w:p>
        </w:tc>
      </w:tr>
      <w:tr>
        <w:tc>
          <w:tcPr>
            <w:tcW w:type="dxa" w:w="1560"/>
          </w:tcPr>
          <w:p>
            <w:r>
              <w:t>RCAbench</w:t>
            </w:r>
          </w:p>
        </w:tc>
        <w:tc>
          <w:tcPr>
            <w:tcW w:type="dxa" w:w="1560"/>
          </w:tcPr>
          <w:p>
            <w:r>
              <w:t>Cybersecurity</w:t>
            </w:r>
          </w:p>
        </w:tc>
        <w:tc>
          <w:tcPr>
            <w:tcW w:type="dxa" w:w="1560"/>
          </w:tcPr>
          <w:p>
            <w:r>
              <w:t>A (file write)</w:t>
            </w:r>
          </w:p>
        </w:tc>
        <w:tc>
          <w:tcPr>
            <w:tcW w:type="dxa" w:w="1560"/>
          </w:tcPr>
          <w:p>
            <w:r>
              <w:t>70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Likely confirmed</w:t>
            </w:r>
          </w:p>
        </w:tc>
      </w:tr>
      <w:tr>
        <w:tc>
          <w:tcPr>
            <w:tcW w:type="dxa" w:w="1560"/>
          </w:tcPr>
          <w:p>
            <w:r>
              <w:t>Pi-Bench</w:t>
            </w:r>
          </w:p>
        </w:tc>
        <w:tc>
          <w:tcPr>
            <w:tcW w:type="dxa" w:w="1560"/>
          </w:tcPr>
          <w:p>
            <w:r>
              <w:t>Agent Safety</w:t>
            </w:r>
          </w:p>
        </w:tc>
        <w:tc>
          <w:tcPr>
            <w:tcW w:type="dxa" w:w="1560"/>
          </w:tcPr>
          <w:p>
            <w:r>
              <w:t>F (policy trace)</w:t>
            </w:r>
          </w:p>
        </w:tc>
        <w:tc>
          <w:tcPr>
            <w:tcW w:type="dxa" w:w="1560"/>
          </w:tcPr>
          <w:p>
            <w:r>
              <w:t>55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Likely confirmed</w:t>
            </w:r>
          </w:p>
        </w:tc>
      </w:tr>
      <w:tr>
        <w:tc>
          <w:tcPr>
            <w:tcW w:type="dxa" w:w="1560"/>
          </w:tcPr>
          <w:p>
            <w:r>
              <w:t>NetArena</w:t>
            </w:r>
          </w:p>
        </w:tc>
        <w:tc>
          <w:tcPr>
            <w:tcW w:type="dxa" w:w="1560"/>
          </w:tcPr>
          <w:p>
            <w:r>
              <w:t>Coding Agent</w:t>
            </w:r>
          </w:p>
        </w:tc>
        <w:tc>
          <w:tcPr>
            <w:tcW w:type="dxa" w:w="1560"/>
          </w:tcPr>
          <w:p>
            <w:r>
              <w:t>E floor</w:t>
            </w:r>
          </w:p>
        </w:tc>
        <w:tc>
          <w:tcPr>
            <w:tcW w:type="dxa" w:w="1560"/>
          </w:tcPr>
          <w:p>
            <w:r>
              <w:t>20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Likely confirmed; floor-only strategy</w:t>
            </w:r>
          </w:p>
        </w:tc>
      </w:tr>
      <w:tr>
        <w:tc>
          <w:tcPr>
            <w:tcW w:type="dxa" w:w="1560"/>
          </w:tcPr>
          <w:p>
            <w:r>
              <w:t>Terminal-Bench 2.0</w:t>
            </w:r>
          </w:p>
        </w:tc>
        <w:tc>
          <w:tcPr>
            <w:tcW w:type="dxa" w:w="1560"/>
          </w:tcPr>
          <w:p>
            <w:r>
              <w:t>Coding Agent (pending)</w:t>
            </w:r>
          </w:p>
        </w:tc>
        <w:tc>
          <w:tcPr>
            <w:tcW w:type="dxa" w:w="1560"/>
          </w:tcPr>
          <w:p>
            <w:r>
              <w:t>B/hybrid</w:t>
            </w:r>
          </w:p>
        </w:tc>
        <w:tc>
          <w:tcPr>
            <w:tcW w:type="dxa" w:w="1560"/>
          </w:tcPr>
          <w:p>
            <w:r>
              <w:t>70</w:t>
            </w:r>
          </w:p>
        </w:tc>
        <w:tc>
          <w:tcPr>
            <w:tcW w:type="dxa" w:w="1560"/>
          </w:tcPr>
          <w:p>
            <w:r>
              <w:t>Low / Speculative</w:t>
            </w:r>
          </w:p>
        </w:tc>
        <w:tc>
          <w:tcPr>
            <w:tcW w:type="dxa" w:w="1560"/>
          </w:tcPr>
          <w:p>
            <w:r>
              <w:t>Not listed on official website; no Phase 1 track entry; do not build until sprint roster is confirmed</w:t>
            </w:r>
          </w:p>
        </w:tc>
      </w:tr>
    </w:tbl>
    <w:p>
      <w:pPr/>
    </w:p>
    <w:p>
      <w:pPr>
        <w:pStyle w:val="Heading2"/>
      </w:pPr>
      <w:r>
        <w:t>Scoring Cliffs and Tactics</w:t>
      </w:r>
    </w:p>
    <w:p>
      <w:pPr/>
      <w:r>
        <w:t>Each benchmark has a scoring cliff — a rule that, if broken, collapses the score disproportionately. Know these before touching the adapters.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Main scoring cliff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Tactical rule</w:t>
            </w:r>
          </w:p>
        </w:tc>
      </w:tr>
      <w:tr>
        <w:tc>
          <w:tcPr>
            <w:tcW w:type="dxa" w:w="3120"/>
          </w:tcPr>
          <w:p>
            <w:r>
              <w:t>text-2-sql</w:t>
            </w:r>
          </w:p>
        </w:tc>
        <w:tc>
          <w:tcPr>
            <w:tcW w:type="dxa" w:w="3120"/>
          </w:tcPr>
          <w:p>
            <w:r>
              <w:t>One phantom table can cost ~9 points</w:t>
            </w:r>
          </w:p>
        </w:tc>
        <w:tc>
          <w:tcPr>
            <w:tcW w:type="dxa" w:w="3120"/>
          </w:tcPr>
          <w:p>
            <w:r>
              <w:t>Validate schema strictly; never reference unknown tables/columns</w:t>
            </w:r>
          </w:p>
        </w:tc>
      </w:tr>
      <w:tr>
        <w:tc>
          <w:tcPr>
            <w:tcW w:type="dxa" w:w="3120"/>
          </w:tcPr>
          <w:p>
            <w:r>
              <w:t>AVER</w:t>
            </w:r>
          </w:p>
        </w:tc>
        <w:tc>
          <w:tcPr>
            <w:tcW w:type="dxa" w:w="3120"/>
          </w:tcPr>
          <w:p>
            <w:r>
              <w:t>Detection after execution gets temporal penalty</w:t>
            </w:r>
          </w:p>
        </w:tc>
        <w:tc>
          <w:tcPr>
            <w:tcW w:type="dxa" w:w="3120"/>
          </w:tcPr>
          <w:p>
            <w:r>
              <w:t>State error detection before first run/execute call</w:t>
            </w:r>
          </w:p>
        </w:tc>
      </w:tr>
      <w:tr>
        <w:tc>
          <w:tcPr>
            <w:tcW w:type="dxa" w:w="3120"/>
          </w:tcPr>
          <w:p>
            <w:r>
              <w:t>RCAbench</w:t>
            </w:r>
          </w:p>
        </w:tc>
        <w:tc>
          <w:tcPr>
            <w:tcW w:type="dxa" w:w="3120"/>
          </w:tcPr>
          <w:p>
            <w:r>
              <w:t>Wrong output location can collapse score</w:t>
            </w:r>
          </w:p>
        </w:tc>
        <w:tc>
          <w:tcPr>
            <w:tcW w:type="dxa" w:w="3120"/>
          </w:tcPr>
          <w:p>
            <w:r>
              <w:t>Always write ranked results to /workspace/shared/loc.json</w:t>
            </w:r>
          </w:p>
        </w:tc>
      </w:tr>
      <w:tr>
        <w:tc>
          <w:tcPr>
            <w:tcW w:type="dxa" w:w="3120"/>
          </w:tcPr>
          <w:p>
            <w:r>
              <w:t>CAR-bench</w:t>
            </w:r>
          </w:p>
        </w:tc>
        <w:tc>
          <w:tcPr>
            <w:tcW w:type="dxa" w:w="3120"/>
          </w:tcPr>
          <w:p>
            <w:r>
              <w:t>Binary cliff at reward ≥ 0.99</w:t>
            </w:r>
          </w:p>
        </w:tc>
        <w:tc>
          <w:tcPr>
            <w:tcW w:type="dxa" w:w="3120"/>
          </w:tcPr>
          <w:p>
            <w:r>
              <w:t>Detect task type before tool use (base/hallucination/disambiguation)</w:t>
            </w:r>
          </w:p>
        </w:tc>
      </w:tr>
      <w:tr>
        <w:tc>
          <w:tcPr>
            <w:tcW w:type="dxa" w:w="3120"/>
          </w:tcPr>
          <w:p>
            <w:r>
              <w:t>τ²-Bench</w:t>
            </w:r>
          </w:p>
        </w:tc>
        <w:tc>
          <w:tcPr>
            <w:tcW w:type="dxa" w:w="3120"/>
          </w:tcPr>
          <w:p>
            <w:r>
              <w:t>Dual-control state drift causes failures</w:t>
            </w:r>
          </w:p>
        </w:tc>
        <w:tc>
          <w:tcPr>
            <w:tcW w:type="dxa" w:w="3120"/>
          </w:tcPr>
          <w:p>
            <w:r>
              <w:t>Track both agent and simulated-user actions before each tool call</w:t>
            </w:r>
          </w:p>
        </w:tc>
      </w:tr>
      <w:tr>
        <w:tc>
          <w:tcPr>
            <w:tcW w:type="dxa" w:w="3120"/>
          </w:tcPr>
          <w:p>
            <w:r>
              <w:t>Pi-Bench</w:t>
            </w:r>
          </w:p>
        </w:tc>
        <w:tc>
          <w:tcPr>
            <w:tcW w:type="dxa" w:w="3120"/>
          </w:tcPr>
          <w:p>
            <w:r>
              <w:t>Policy-trace quality drives deterministic columns</w:t>
            </w:r>
          </w:p>
        </w:tc>
        <w:tc>
          <w:tcPr>
            <w:tcW w:type="dxa" w:w="3120"/>
          </w:tcPr>
          <w:p>
            <w:r>
              <w:t>Cite policy rationale per step; use ambiguity verdicts when warranted</w:t>
            </w:r>
          </w:p>
        </w:tc>
      </w:tr>
      <w:tr>
        <w:tc>
          <w:tcPr>
            <w:tcW w:type="dxa" w:w="3120"/>
          </w:tcPr>
          <w:p>
            <w:r>
              <w:t>NetArena</w:t>
            </w:r>
          </w:p>
        </w:tc>
        <w:tc>
          <w:tcPr>
            <w:tcW w:type="dxa" w:w="3120"/>
          </w:tcPr>
          <w:p>
            <w:r>
              <w:t>Full score needs live K8s connectivity</w:t>
            </w:r>
          </w:p>
        </w:tc>
        <w:tc>
          <w:tcPr>
            <w:tcW w:type="dxa" w:w="3120"/>
          </w:tcPr>
          <w:p>
            <w:r>
              <w:t>Use floor strategy unless KinD/live cluster is available</w:t>
            </w:r>
          </w:p>
        </w:tc>
      </w:tr>
    </w:tbl>
    <w:p>
      <w:pPr/>
    </w:p>
    <w:p>
      <w:pPr>
        <w:pStyle w:val="Heading2"/>
      </w:pPr>
      <w:r>
        <w:t>Task Input / Output Quick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Task input signature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 output shape</w:t>
            </w:r>
          </w:p>
        </w:tc>
      </w:tr>
      <w:tr>
        <w:tc>
          <w:tcPr>
            <w:tcW w:type="dxa" w:w="3120"/>
          </w:tcPr>
          <w:p>
            <w:r>
              <w:t>RCAbench</w:t>
            </w:r>
          </w:p>
        </w:tc>
        <w:tc>
          <w:tcPr>
            <w:tcW w:type="dxa" w:w="3120"/>
          </w:tcPr>
          <w:p>
            <w:r>
              <w:t>Message includes arvo:&lt;id&gt;; workspace contains error.txt + vulnerable repo</w:t>
            </w:r>
          </w:p>
        </w:tc>
        <w:tc>
          <w:tcPr>
            <w:tcW w:type="dxa" w:w="3120"/>
          </w:tcPr>
          <w:p>
            <w:r>
              <w:t>Write ranked localization list to /workspace/shared/loc.json</w:t>
            </w:r>
          </w:p>
        </w:tc>
      </w:tr>
      <w:tr>
        <w:tc>
          <w:tcPr>
            <w:tcW w:type="dxa" w:w="3120"/>
          </w:tcPr>
          <w:p>
            <w:r>
              <w:t>text-2-sql</w:t>
            </w:r>
          </w:p>
        </w:tc>
        <w:tc>
          <w:tcPr>
            <w:tcW w:type="dxa" w:w="3120"/>
          </w:tcPr>
          <w:p>
            <w:r>
              <w:t>JSON with task_id, question, schema, dialect</w:t>
            </w:r>
          </w:p>
        </w:tc>
        <w:tc>
          <w:tcPr>
            <w:tcW w:type="dxa" w:w="3120"/>
          </w:tcPr>
          <w:p>
            <w:r>
              <w:t>Return JSON with sql field</w:t>
            </w:r>
          </w:p>
        </w:tc>
      </w:tr>
      <w:tr>
        <w:tc>
          <w:tcPr>
            <w:tcW w:type="dxa" w:w="3120"/>
          </w:tcPr>
          <w:p>
            <w:r>
              <w:t>AVER</w:t>
            </w:r>
          </w:p>
        </w:tc>
        <w:tc>
          <w:tcPr>
            <w:tcW w:type="dxa" w:w="3120"/>
          </w:tcPr>
          <w:p>
            <w:r>
              <w:t>Error-injected coding task with detection and recovery criteria</w:t>
            </w:r>
          </w:p>
        </w:tc>
        <w:tc>
          <w:tcPr>
            <w:tcW w:type="dxa" w:w="3120"/>
          </w:tcPr>
          <w:p>
            <w:r>
              <w:t>Multi-turn detect→diagnose→recover; code via JSON run_python tool call</w:t>
            </w:r>
          </w:p>
        </w:tc>
      </w:tr>
      <w:tr>
        <w:tc>
          <w:tcPr>
            <w:tcW w:type="dxa" w:w="3120"/>
          </w:tcPr>
          <w:p>
            <w:r>
              <w:t>CAR-bench</w:t>
            </w:r>
          </w:p>
        </w:tc>
        <w:tc>
          <w:tcPr>
            <w:tcW w:type="dxa" w:w="3120"/>
          </w:tcPr>
          <w:p>
            <w:r>
              <w:t>Multi-turn car assistant tasks with system prompt type cues</w:t>
            </w:r>
          </w:p>
        </w:tc>
        <w:tc>
          <w:tcPr>
            <w:tcW w:type="dxa" w:w="3120"/>
          </w:tcPr>
          <w:p>
            <w:r>
              <w:t>Correct task-type behavior with tool calls only when appropriate</w:t>
            </w:r>
          </w:p>
        </w:tc>
      </w:tr>
      <w:tr>
        <w:tc>
          <w:tcPr>
            <w:tcW w:type="dxa" w:w="3120"/>
          </w:tcPr>
          <w:p>
            <w:r>
              <w:t>τ²-Bench</w:t>
            </w:r>
          </w:p>
        </w:tc>
        <w:tc>
          <w:tcPr>
            <w:tcW w:type="dxa" w:w="3120"/>
          </w:tcPr>
          <w:p>
            <w:r>
              <w:t>Multi-turn customer service tasks across airline/retail/telecom</w:t>
            </w:r>
          </w:p>
        </w:tc>
        <w:tc>
          <w:tcPr>
            <w:tcW w:type="dxa" w:w="3120"/>
          </w:tcPr>
          <w:p>
            <w:r>
              <w:t>Policy-following multi-turn tool calls with dual-control awareness</w:t>
            </w:r>
          </w:p>
        </w:tc>
      </w:tr>
      <w:tr>
        <w:tc>
          <w:tcPr>
            <w:tcW w:type="dxa" w:w="3120"/>
          </w:tcPr>
          <w:p>
            <w:r>
              <w:t>Pi-Bench</w:t>
            </w:r>
          </w:p>
        </w:tc>
        <w:tc>
          <w:tcPr>
            <w:tcW w:type="dxa" w:w="3120"/>
          </w:tcPr>
          <w:p>
            <w:r>
              <w:t>Policy compliance scenario</w:t>
            </w:r>
          </w:p>
        </w:tc>
        <w:tc>
          <w:tcPr>
            <w:tcW w:type="dxa" w:w="3120"/>
          </w:tcPr>
          <w:p>
            <w:r>
              <w:t>Structured policy trace and compliance verdict</w:t>
            </w:r>
          </w:p>
        </w:tc>
      </w:tr>
      <w:tr>
        <w:tc>
          <w:tcPr>
            <w:tcW w:type="dxa" w:w="3120"/>
          </w:tcPr>
          <w:p>
            <w:r>
              <w:t>NetArena</w:t>
            </w:r>
          </w:p>
        </w:tc>
        <w:tc>
          <w:tcPr>
            <w:tcW w:type="dxa" w:w="3120"/>
          </w:tcPr>
          <w:p>
            <w:r>
              <w:t>Network diagnosis and remediation prompts</w:t>
            </w:r>
          </w:p>
        </w:tc>
        <w:tc>
          <w:tcPr>
            <w:tcW w:type="dxa" w:w="3120"/>
          </w:tcPr>
          <w:p>
            <w:r>
              <w:t>Floor: reasoned kubectl plan; full: live cluster remediation</w:t>
            </w:r>
          </w:p>
        </w:tc>
      </w:tr>
    </w:tbl>
    <w:p>
      <w:pPr/>
    </w:p>
    <w:p>
      <w:pPr>
        <w:pStyle w:val="Heading2"/>
      </w:pPr>
      <w:r>
        <w:t>Priority Execution Queue</w:t>
      </w:r>
    </w:p>
    <w:p>
      <w:pPr/>
      <w:r>
        <w:t>As of 2026-04-12. Items are sequenced by sprint window deadline, then adapter dependency order.</w:t>
      </w:r>
    </w:p>
    <w:p>
      <w:pPr/>
    </w:p>
    <w:p>
      <w:pPr/>
      <w:r>
        <w:t>1. Finish and submit CAR-bench in the Sprint 2 window.</w:t>
      </w:r>
    </w:p>
    <w:p>
      <w:pPr/>
      <w:r>
        <w:t>2. Keep B and C as the shared foundation for all high-value targets.</w:t>
      </w:r>
    </w:p>
    <w:p>
      <w:pPr/>
      <w:r>
        <w:t>3. Start Sprint 3 with text-2-sql, AVER, and RCAbench as the first execution wave.</w:t>
      </w:r>
    </w:p>
    <w:p>
      <w:pPr/>
      <w:r>
        <w:t>4. Confirm Sprint 3 roster at open before spending on Terminal-Bench 2.0 or any new candidate.</w:t>
      </w:r>
    </w:p>
    <w:p>
      <w:pPr/>
      <w:r>
        <w:t>5. Treat NetArena as floor until cluster feasibility changes.</w:t>
      </w:r>
    </w:p>
    <w:p>
      <w:pPr/>
    </w:p>
    <w:p>
      <w:pPr>
        <w:pStyle w:val="Heading2"/>
      </w:pPr>
      <w:r>
        <w:t>Risk Watchlist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t>Sprint 3 roster remains tentative until open</w:t>
            </w:r>
          </w:p>
        </w:tc>
        <w:tc>
          <w:tcPr>
            <w:tcW w:type="dxa" w:w="3120"/>
          </w:tcPr>
          <w:p>
            <w:r>
              <w:t>Can invalidate repo assumptions</w:t>
            </w:r>
          </w:p>
        </w:tc>
        <w:tc>
          <w:tcPr>
            <w:tcW w:type="dxa" w:w="3120"/>
          </w:tcPr>
          <w:p>
            <w:r>
              <w:t>Re-verify roster at Sprint 3 open before conditional work</w:t>
            </w:r>
          </w:p>
        </w:tc>
      </w:tr>
      <w:tr>
        <w:tc>
          <w:tcPr>
            <w:tcW w:type="dxa" w:w="3120"/>
          </w:tcPr>
          <w:p>
            <w:r>
              <w:t>Terminal-Bench 2.0 not assigned to Sprint 3</w:t>
            </w:r>
          </w:p>
        </w:tc>
        <w:tc>
          <w:tcPr>
            <w:tcW w:type="dxa" w:w="3120"/>
          </w:tcPr>
          <w:p>
            <w:r>
              <w:t>Removes projected +70 scenario</w:t>
            </w:r>
          </w:p>
        </w:tc>
        <w:tc>
          <w:tcPr>
            <w:tcW w:type="dxa" w:w="3120"/>
          </w:tcPr>
          <w:p>
            <w:r>
              <w:t>Keep as conditional line item only; do not build until confirmed</w:t>
            </w:r>
          </w:p>
        </w:tc>
      </w:tr>
      <w:tr>
        <w:tc>
          <w:tcPr>
            <w:tcW w:type="dxa" w:w="3120"/>
          </w:tcPr>
          <w:p>
            <w:r>
              <w:t>τ²-Bench dual-control complexity underestimated</w:t>
            </w:r>
          </w:p>
        </w:tc>
        <w:tc>
          <w:tcPr>
            <w:tcW w:type="dxa" w:w="3120"/>
          </w:tcPr>
          <w:p>
            <w:r>
              <w:t>Sprint 2 overrun risk</w:t>
            </w:r>
          </w:p>
        </w:tc>
        <w:tc>
          <w:tcPr>
            <w:tcW w:type="dxa" w:w="3120"/>
          </w:tcPr>
          <w:p>
            <w:r>
              <w:t>Keep secondary to CAR-bench; defer if time expires</w:t>
            </w:r>
          </w:p>
        </w:tc>
      </w:tr>
      <w:tr>
        <w:tc>
          <w:tcPr>
            <w:tcW w:type="dxa" w:w="3120"/>
          </w:tcPr>
          <w:p>
            <w:r>
              <w:t>NetArena floor scores below expected partial credit</w:t>
            </w:r>
          </w:p>
        </w:tc>
        <w:tc>
          <w:tcPr>
            <w:tcW w:type="dxa" w:w="3120"/>
          </w:tcPr>
          <w:p>
            <w:r>
              <w:t>Lower than 20-point estimate</w:t>
            </w:r>
          </w:p>
        </w:tc>
        <w:tc>
          <w:tcPr>
            <w:tcW w:type="dxa" w:w="3120"/>
          </w:tcPr>
          <w:p>
            <w:r>
              <w:t>Early KinD feasibility check for possible full implementation</w:t>
            </w:r>
          </w:p>
        </w:tc>
      </w:tr>
      <w:tr>
        <w:tc>
          <w:tcPr>
            <w:tcW w:type="dxa" w:w="3120"/>
          </w:tcPr>
          <w:p>
            <w:r>
              <w:t>Sprint windows not yet confirmed</w:t>
            </w:r>
          </w:p>
        </w:tc>
        <w:tc>
          <w:tcPr>
            <w:tcW w:type="dxa" w:w="3120"/>
          </w:tcPr>
          <w:p>
            <w:r>
              <w:t>All sprint deadlines are tentative</w:t>
            </w:r>
          </w:p>
        </w:tc>
        <w:tc>
          <w:tcPr>
            <w:tcW w:type="dxa" w:w="3120"/>
          </w:tcPr>
          <w:p>
            <w:r>
              <w:t>Monitor official competition site; do not treat any date as a hard deadline</w:t>
            </w:r>
          </w:p>
        </w:tc>
      </w:tr>
      <w:tr>
        <w:tc>
          <w:tcPr>
            <w:tcW w:type="dxa" w:w="3120"/>
          </w:tcPr>
          <w:p>
            <w:r>
              <w:t>Terminal-Bench 2.0 not listed on website</w:t>
            </w:r>
          </w:p>
        </w:tc>
        <w:tc>
          <w:tcPr>
            <w:tcW w:type="dxa" w:w="3120"/>
          </w:tcPr>
          <w:p>
            <w:r>
              <w:t>No website evidence it will be in Sprint 3; +70 pts projection may be entirely invalid</w:t>
            </w:r>
          </w:p>
        </w:tc>
        <w:tc>
          <w:tcPr>
            <w:tcW w:type="dxa" w:w="3120"/>
          </w:tcPr>
          <w:p>
            <w:r>
              <w:t>Treat as speculative only; do not build Adapter B extension until repo appears on official sprint roster</w:t>
            </w:r>
          </w:p>
        </w:tc>
      </w:tr>
    </w:tbl>
    <w:p>
      <w:pPr/>
    </w:p>
    <w:sectPr>
      <w:headerReference r:id="rId22" w:type="default"/>
      <w:footerReference r:id="rId23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color="2e4057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LogoMesh · AgentBeats Phase 2 · Internal Use Only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bottom w:color="2e4057" w:space="4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2e4057"/>
        <w:sz w:val="18"/>
        <w:szCs w:val="18"/>
        <w:rtl w:val="0"/>
      </w:rPr>
      <w:t xml:space="preserve">TEAM BRIEF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LogoMesh — Phase 2 Sprint 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linear.app/logomesh-agentbeats-phase-2/issue/LOG-55" TargetMode="External"/><Relationship Id="rId11" Type="http://schemas.openxmlformats.org/officeDocument/2006/relationships/hyperlink" Target="http://rdi.berkeley.edu/agentx-agentbeats.html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linear.app/logomesh-agentbeats-phase-2/project/logomesh-agentbeats-phase-2-generalized-purple-agent-fb38e059a700" TargetMode="External"/><Relationship Id="rId21" Type="http://schemas.openxmlformats.org/officeDocument/2006/relationships/hyperlink" Target="https://linear.app/logomesh-agentbeats-phase-2/issue/LOG-56" TargetMode="External"/><Relationship Id="rId13" Type="http://schemas.openxmlformats.org/officeDocument/2006/relationships/hyperlink" Target="https://linear.app/logomesh-agentbeats-phase-2/issue/LOG-48" TargetMode="External"/><Relationship Id="rId12" Type="http://schemas.openxmlformats.org/officeDocument/2006/relationships/hyperlink" Target="https://linear.app/logomesh-agentbeats-phase-2/issue/LOG-47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ogoMesh/LogoMesh/tree/main-generalized-phase2" TargetMode="External"/><Relationship Id="rId15" Type="http://schemas.openxmlformats.org/officeDocument/2006/relationships/hyperlink" Target="https://linear.app/logomesh-agentbeats-phase-2/issue/LOG-50" TargetMode="External"/><Relationship Id="rId14" Type="http://schemas.openxmlformats.org/officeDocument/2006/relationships/hyperlink" Target="https://linear.app/logomesh-agentbeats-phase-2/issue/LOG-49" TargetMode="External"/><Relationship Id="rId17" Type="http://schemas.openxmlformats.org/officeDocument/2006/relationships/hyperlink" Target="https://linear.app/logomesh-agentbeats-phase-2/issue/LOG-52" TargetMode="External"/><Relationship Id="rId16" Type="http://schemas.openxmlformats.org/officeDocument/2006/relationships/hyperlink" Target="https://linear.app/logomesh-agentbeats-phase-2/issue/LOG-51" TargetMode="External"/><Relationship Id="rId5" Type="http://schemas.openxmlformats.org/officeDocument/2006/relationships/styles" Target="styles.xml"/><Relationship Id="rId19" Type="http://schemas.openxmlformats.org/officeDocument/2006/relationships/hyperlink" Target="https://linear.app/logomesh-agentbeats-phase-2/issue/LOG-54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linear.app/logomesh-agentbeats-phase-2/issue/LOG-53" TargetMode="External"/><Relationship Id="rId7" Type="http://schemas.openxmlformats.org/officeDocument/2006/relationships/hyperlink" Target="https://linear.app/logomesh-agentbeats-phase-2/project/logomesh-agentbeats-phase-2-generalized-purple-agent-fb38e059a700/overview" TargetMode="External"/><Relationship Id="rId8" Type="http://schemas.openxmlformats.org/officeDocument/2006/relationships/hyperlink" Target="https://github.com/LogoMesh/LogoMesh/tree/main-generalized-phase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AGNrqwDQ3TmR9TJwgJQkqFzndw==">CgMxLjAaJAoBMBIfCh0IB0IZCgVBcmlhbBIQQXJpYWwgVW5pY29kZSBNUzIOaC41enJ6bnVkdWs1dTYyDmguZWxyM2pmdGlwNWQyMg5oLml2cWY4c2FsdzNjZTgAciExTnFQUU1IdHJyQk1ZQ0dFbXhiRjZsYTVFU2N1SGhoT2o=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