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Mastercard Gateway Test App</w:t>
      </w:r>
    </w:p>
    <w:p>
      <w:pPr>
        <w:jc w:val="center"/>
      </w:pPr>
      <w:r>
        <w:rPr>
          <w:b/>
          <w:sz w:val="24"/>
        </w:rPr>
        <w:t>Hosted Session + 3DS — Application User Guide</w:t>
      </w:r>
    </w:p>
    <w:p>
      <w:pPr>
        <w:jc w:val="center"/>
      </w:pPr>
      <w:r>
        <w:rPr>
          <w:b/>
          <w:sz w:val="22"/>
        </w:rPr>
        <w:t>Version 1.1.0</w:t>
      </w:r>
    </w:p>
    <w:p/>
    <w:p>
      <w:pPr>
        <w:spacing w:before="200" w:after="40"/>
      </w:pPr>
      <w:r>
        <w:rPr>
          <w:b/>
          <w:sz w:val="22"/>
        </w:rPr>
        <w:t>Executive Summary</w:t>
      </w:r>
    </w:p>
    <w:p>
      <w:pPr>
        <w:spacing w:after="120"/>
      </w:pPr>
      <w:r>
        <w:rPr>
          <w:color w:val="000000"/>
          <w:sz w:val="22"/>
        </w:rPr>
        <w:t xml:space="preserve">This document is a step-by-step guide for Sales and CTS (Customer Technical Support) teams to validate this payment scenario in the Mastercard Gateway MTF (Merchant Test Facility) environment.</w:t>
      </w:r>
    </w:p>
    <w:p>
      <w:pPr>
        <w:spacing w:after="120"/>
      </w:pPr>
      <w:r>
        <w:rPr>
          <w:color w:val="000000"/>
          <w:sz w:val="22"/>
        </w:rPr>
        <w:t xml:space="preserve">In a Hosted Session integration, the merchant renders its own payment form but the card data is captured directly into a gateway-hosted session, so the merchant never handles raw card data on its server. The session is then used to complete the payment with 3-D Secure authentication. This demo uses a fixed configuration (no configuration UI) and is set in TechGear, a sample hardware store: the card fields and the 3-D Secure challenge both appear inside the TechGear checkout, and the amount charged is the cart total.</w:t>
      </w:r>
    </w:p>
    <w:p>
      <w:pPr>
        <w:spacing w:before="200" w:after="40"/>
      </w:pPr>
      <w:r>
        <w:rPr>
          <w:b/>
          <w:sz w:val="22"/>
        </w:rPr>
        <w:t>Step-by-Step Flow</w:t>
      </w:r>
    </w:p>
    <w:p>
      <w:pPr>
        <w:spacing w:before="200" w:after="40"/>
      </w:pPr>
      <w:r>
        <w:rPr>
          <w:b/>
          <w:sz w:val="22"/>
        </w:rPr>
        <w:t>Step 1: Browse the store</w:t>
      </w:r>
    </w:p>
    <w:p>
      <w:pPr>
        <w:spacing w:after="120"/>
      </w:pPr>
      <w:r>
        <w:rPr>
          <w:color w:val="000000"/>
          <w:sz w:val="22"/>
        </w:rPr>
        <w:t xml:space="preserve">Open the demo. A thin Demo strip under the header lists the steps and shows the MTF test card. Select Browse Collection or a category, open a product and select Add to Cart.</w:t>
      </w:r>
    </w:p>
    <w:p>
      <w:pPr>
        <w:spacing w:before="80"/>
        <w:jc w:val="center"/>
      </w:pPr>
      <w:r>
        <w:drawing>
          <wp:inline xmlns:a="http://schemas.openxmlformats.org/drawingml/2006/main" xmlns:pic="http://schemas.openxmlformats.org/drawingml/2006/picture">
            <wp:extent cx="6400800" cy="4112514"/>
            <wp:docPr id="1" name="Picture 1"/>
            <wp:cNvGraphicFramePr>
              <a:graphicFrameLocks noChangeAspect="1"/>
            </wp:cNvGraphicFramePr>
            <a:graphic>
              <a:graphicData uri="http://schemas.openxmlformats.org/drawingml/2006/picture">
                <pic:pic>
                  <pic:nvPicPr>
                    <pic:cNvPr id="0" name="image1.png"/>
                    <pic:cNvPicPr/>
                  </pic:nvPicPr>
                  <pic:blipFill>
                    <a:blip r:embed="rIdImg1"/>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home page — the Demo strip lists the steps and the MTF test card.</w:t>
      </w:r>
    </w:p>
    <w:p>
      <w:pPr>
        <w:spacing w:before="200" w:after="40"/>
      </w:pPr>
      <w:r>
        <w:rPr>
          <w:b/>
          <w:sz w:val="22"/>
        </w:rPr>
        <w:t>Step 2: Review the cart</w:t>
      </w:r>
    </w:p>
    <w:p>
      <w:pPr>
        <w:spacing w:after="120"/>
      </w:pPr>
      <w:r>
        <w:rPr>
          <w:color w:val="000000"/>
          <w:sz w:val="22"/>
        </w:rPr>
        <w:t xml:space="preserve">Open the cart (top right). Change quantities or add the suggested accessory, then select Proceed to Checkout. The total shown is the amount that will be charged.</w:t>
      </w:r>
    </w:p>
    <w:p>
      <w:pPr>
        <w:spacing w:before="80"/>
        <w:jc w:val="center"/>
      </w:pPr>
      <w:r>
        <w:drawing>
          <wp:inline xmlns:a="http://schemas.openxmlformats.org/drawingml/2006/main" xmlns:pic="http://schemas.openxmlformats.org/drawingml/2006/picture">
            <wp:extent cx="6400800" cy="4112514"/>
            <wp:docPr id="2" name="Picture 2"/>
            <wp:cNvGraphicFramePr>
              <a:graphicFrameLocks noChangeAspect="1"/>
            </wp:cNvGraphicFramePr>
            <a:graphic>
              <a:graphicData uri="http://schemas.openxmlformats.org/drawingml/2006/picture">
                <pic:pic>
                  <pic:nvPicPr>
                    <pic:cNvPr id="0" name="image2.png"/>
                    <pic:cNvPicPr/>
                  </pic:nvPicPr>
                  <pic:blipFill>
                    <a:blip r:embed="rIdImg2"/>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Cart with two items ($398); select Proceed to Checkout.</w:t>
      </w:r>
    </w:p>
    <w:p>
      <w:pPr>
        <w:spacing w:before="200" w:after="40"/>
      </w:pPr>
      <w:r>
        <w:rPr>
          <w:b/>
          <w:sz w:val="22"/>
        </w:rPr>
        <w:t>Step 3: Enter card details in the secure fields</w:t>
      </w:r>
    </w:p>
    <w:p>
      <w:pPr>
        <w:spacing w:after="120"/>
      </w:pPr>
      <w:r>
        <w:rPr>
          <w:color w:val="000000"/>
          <w:sz w:val="22"/>
        </w:rPr>
        <w:t xml:space="preserve">The checkout page creates a session for the cart and shows the card form in the Payment step. Each field is hosted by Mastercard (session.js), so the card data goes straight to the gateway. Enter the card number, expiry month and year, CVV and name on card, then select Pay. Example MTF test card: 5123 4500 0000 0008, expiry 01/39, security code 100.</w:t>
      </w:r>
    </w:p>
    <w:p>
      <w:pPr>
        <w:spacing w:before="80"/>
        <w:jc w:val="center"/>
      </w:pPr>
      <w:r>
        <w:drawing>
          <wp:inline xmlns:a="http://schemas.openxmlformats.org/drawingml/2006/main" xmlns:pic="http://schemas.openxmlformats.org/drawingml/2006/picture">
            <wp:extent cx="6400800" cy="4112514"/>
            <wp:docPr id="3" name="Picture 3"/>
            <wp:cNvGraphicFramePr>
              <a:graphicFrameLocks noChangeAspect="1"/>
            </wp:cNvGraphicFramePr>
            <a:graphic>
              <a:graphicData uri="http://schemas.openxmlformats.org/drawingml/2006/picture">
                <pic:pic>
                  <pic:nvPicPr>
                    <pic:cNvPr id="0" name="image3.png"/>
                    <pic:cNvPicPr/>
                  </pic:nvPicPr>
                  <pic:blipFill>
                    <a:blip r:embed="rIdImg3"/>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checkout — Hosted Session card fields in the Payment step.</w:t>
      </w:r>
    </w:p>
    <w:p>
      <w:pPr>
        <w:spacing w:before="80"/>
        <w:jc w:val="center"/>
      </w:pPr>
      <w:r>
        <w:drawing>
          <wp:inline xmlns:a="http://schemas.openxmlformats.org/drawingml/2006/main" xmlns:pic="http://schemas.openxmlformats.org/drawingml/2006/picture">
            <wp:extent cx="6400800" cy="4112514"/>
            <wp:docPr id="4" name="Picture 4"/>
            <wp:cNvGraphicFramePr>
              <a:graphicFrameLocks noChangeAspect="1"/>
            </wp:cNvGraphicFramePr>
            <a:graphic>
              <a:graphicData uri="http://schemas.openxmlformats.org/drawingml/2006/picture">
                <pic:pic>
                  <pic:nvPicPr>
                    <pic:cNvPr id="0" name="image4.png"/>
                    <pic:cNvPicPr/>
                  </pic:nvPicPr>
                  <pic:blipFill>
                    <a:blip r:embed="rIdImg4"/>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Card details entered; select Pay.</w:t>
      </w:r>
    </w:p>
    <w:p>
      <w:pPr>
        <w:spacing w:before="200" w:after="40"/>
      </w:pPr>
      <w:r>
        <w:rPr>
          <w:b/>
          <w:sz w:val="22"/>
        </w:rPr>
        <w:t>Step 4: Complete 3-D Secure authentication</w:t>
      </w:r>
    </w:p>
    <w:p>
      <w:pPr>
        <w:spacing w:after="120"/>
      </w:pPr>
      <w:r>
        <w:rPr>
          <w:color w:val="000000"/>
          <w:sz w:val="22"/>
        </w:rPr>
        <w:t xml:space="preserve">The 3-D Secure challenge appears inside the Payment step — the shopper doesn't leave the checkout. In MTF the ACS Emulator for 3DS V2 appears. Select the authentication result — for a successful flow choose “(Y) Authentication/Account Verification Successful” — then Submit.</w:t>
      </w:r>
    </w:p>
    <w:p>
      <w:pPr>
        <w:spacing w:after="120"/>
      </w:pPr>
      <w:r>
        <w:rPr>
          <w:color w:val="000000"/>
          <w:sz w:val="22"/>
        </w:rPr>
        <w:t xml:space="preserve">Payment is taken only after the gateway confirms that authentication has finished.</w:t>
      </w:r>
    </w:p>
    <w:p>
      <w:pPr>
        <w:spacing w:before="80" w:after="160"/>
      </w:pPr>
      <w:r>
        <w:rPr>
          <w:b/>
          <w:color w:val="C00000"/>
          <w:sz w:val="22"/>
        </w:rPr>
        <w:t xml:space="preserve">Important: </w:t>
      </w:r>
      <w:r>
        <w:rPr>
          <w:color w:val="C00000"/>
          <w:sz w:val="22"/>
        </w:rPr>
        <w:t xml:space="preserve">This emulator screen appears only in test environments. In production the shopper completes real issuer authentication.</w:t>
      </w:r>
    </w:p>
    <w:p>
      <w:pPr>
        <w:spacing w:before="80"/>
        <w:jc w:val="center"/>
      </w:pPr>
      <w:r>
        <w:drawing>
          <wp:inline xmlns:a="http://schemas.openxmlformats.org/drawingml/2006/main" xmlns:pic="http://schemas.openxmlformats.org/drawingml/2006/picture">
            <wp:extent cx="6400800" cy="4112514"/>
            <wp:docPr id="5" name="Picture 5"/>
            <wp:cNvGraphicFramePr>
              <a:graphicFrameLocks noChangeAspect="1"/>
            </wp:cNvGraphicFramePr>
            <a:graphic>
              <a:graphicData uri="http://schemas.openxmlformats.org/drawingml/2006/picture">
                <pic:pic>
                  <pic:nvPicPr>
                    <pic:cNvPr id="0" name="image5.png"/>
                    <pic:cNvPicPr/>
                  </pic:nvPicPr>
                  <pic:blipFill>
                    <a:blip r:embed="rIdImg5"/>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3-D Secure V2 — the ACS Emulator inside the TechGear checkout.</w:t>
      </w:r>
    </w:p>
    <w:p>
      <w:pPr>
        <w:spacing w:before="200" w:after="40"/>
      </w:pPr>
      <w:r>
        <w:rPr>
          <w:b/>
          <w:sz w:val="22"/>
        </w:rPr>
        <w:t>Step 5: Confirmation</w:t>
      </w:r>
    </w:p>
    <w:p>
      <w:pPr>
        <w:spacing w:after="120"/>
      </w:pPr>
      <w:r>
        <w:rPr>
          <w:color w:val="000000"/>
          <w:sz w:val="22"/>
        </w:rPr>
        <w:t xml:space="preserve">The TechGear receipt shows the gateway's answer to the PAY request: the order number, the 3-D Secure result (e.g. AUTHENTICATION_SUCCESSFUL), the order status (e.g. CAPTURED) and the gateway result (e.g. APPROVED), together with the items and total.</w:t>
      </w:r>
    </w:p>
    <w:p>
      <w:pPr>
        <w:spacing w:before="80"/>
        <w:jc w:val="center"/>
      </w:pPr>
      <w:r>
        <w:drawing>
          <wp:inline xmlns:a="http://schemas.openxmlformats.org/drawingml/2006/main" xmlns:pic="http://schemas.openxmlformats.org/drawingml/2006/picture">
            <wp:extent cx="6400800" cy="4112514"/>
            <wp:docPr id="6" name="Picture 6"/>
            <wp:cNvGraphicFramePr>
              <a:graphicFrameLocks noChangeAspect="1"/>
            </wp:cNvGraphicFramePr>
            <a:graphic>
              <a:graphicData uri="http://schemas.openxmlformats.org/drawingml/2006/picture">
                <pic:pic>
                  <pic:nvPicPr>
                    <pic:cNvPr id="0" name="image6.png"/>
                    <pic:cNvPicPr/>
                  </pic:nvPicPr>
                  <pic:blipFill>
                    <a:blip r:embed="rIdImg6"/>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receipt — CAPTURED, APPROVED, 3-D Secure successful.</w:t>
      </w:r>
    </w:p>
    <w:p>
      <w:pPr>
        <w:spacing w:before="200" w:after="40"/>
      </w:pPr>
      <w:r>
        <w:rPr>
          <w:b/>
          <w:sz w:val="22"/>
        </w:rPr>
        <w:t>Behind the scenes: Developer view</w:t>
      </w:r>
    </w:p>
    <w:p>
      <w:pPr>
        <w:spacing w:after="120"/>
      </w:pPr>
      <w:r>
        <w:rPr>
          <w:color w:val="000000"/>
          <w:sz w:val="22"/>
        </w:rPr>
        <w:t xml:space="preserve">The Developer view tab on the right edge opens a drawer. Network calls lists every step — create session, PaymentSession.configure and updateSessionFromForm, INITIATE_AUTHENTICATION and AUTHENTICATE_PAYER, the 3-D Secure result, and PAY. How it works explains the four stages.</w:t>
      </w:r>
    </w:p>
    <w:p>
      <w:pPr>
        <w:spacing w:before="80" w:after="160"/>
      </w:pPr>
      <w:r>
        <w:rPr>
          <w:b/>
          <w:color w:val="C00000"/>
          <w:sz w:val="22"/>
        </w:rPr>
        <w:t xml:space="preserve">Note: </w:t>
      </w:r>
      <w:r>
        <w:rPr>
          <w:color w:val="C00000"/>
          <w:sz w:val="22"/>
        </w:rPr>
        <w:t xml:space="preserve">Open the Developer view when presenting to technical audiences; keep it closed for a shopper's-eye demo.</w:t>
      </w:r>
    </w:p>
    <w:p>
      <w:pPr>
        <w:spacing w:before="80"/>
        <w:jc w:val="center"/>
      </w:pPr>
      <w:r>
        <w:drawing>
          <wp:inline xmlns:a="http://schemas.openxmlformats.org/drawingml/2006/main" xmlns:pic="http://schemas.openxmlformats.org/drawingml/2006/picture">
            <wp:extent cx="6400800" cy="4112514"/>
            <wp:docPr id="7" name="Picture 7"/>
            <wp:cNvGraphicFramePr>
              <a:graphicFrameLocks noChangeAspect="1"/>
            </wp:cNvGraphicFramePr>
            <a:graphic>
              <a:graphicData uri="http://schemas.openxmlformats.org/drawingml/2006/picture">
                <pic:pic>
                  <pic:nvPicPr>
                    <pic:cNvPr id="0" name="image7.png"/>
                    <pic:cNvPicPr/>
                  </pic:nvPicPr>
                  <pic:blipFill>
                    <a:blip r:embed="rIdImg7"/>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Developer view — How it works.</w:t>
      </w:r>
    </w:p>
    <w:p>
      <w:pPr>
        <w:spacing w:before="200" w:after="40"/>
      </w:pPr>
      <w:r>
        <w:rPr>
          <w:b/>
          <w:sz w:val="22"/>
        </w:rPr>
        <w:t>Questions &amp; Feedback</w:t>
      </w:r>
    </w:p>
    <w:p>
      <w:r>
        <w:rPr>
          <w:b/>
          <w:sz w:val="22"/>
        </w:rPr>
        <w:t>For any queries or improvements, reach out to Gaurav.joshi@mastercard.com</w:t>
      </w:r>
    </w:p>
    <w:sectPr w:rsidR="00FC693F" w:rsidRPr="0006063C" w:rsidSect="00034616">
      <w:footerReference w:type="default" r:id="rId9"/>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For any queries or improvements, reach out to Gaurav.joshi@mastercard.com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