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Mastercard Gateway Test App</w:t>
      </w:r>
    </w:p>
    <w:p>
      <w:pPr>
        <w:jc w:val="center"/>
      </w:pPr>
      <w:r>
        <w:rPr>
          <w:b/>
          <w:sz w:val="24"/>
        </w:rPr>
        <w:t>Click to Pay — Hosted Session — Application User Guide</w:t>
      </w:r>
    </w:p>
    <w:p>
      <w:pPr>
        <w:jc w:val="center"/>
      </w:pPr>
      <w:r>
        <w:rPr>
          <w:b/>
          <w:sz w:val="22"/>
        </w:rPr>
        <w:t>Version 1.1.0</w:t>
      </w:r>
    </w:p>
    <w:p/>
    <w:p>
      <w:pPr>
        <w:spacing w:before="200" w:after="40"/>
      </w:pPr>
      <w:r>
        <w:rPr>
          <w:b/>
          <w:sz w:val="22"/>
        </w:rPr>
        <w:t>Executive Summary</w:t>
      </w:r>
    </w:p>
    <w:p>
      <w:pPr>
        <w:spacing w:after="120"/>
      </w:pPr>
      <w:r>
        <w:rPr>
          <w:color w:val="000000"/>
          <w:sz w:val="22"/>
        </w:rPr>
        <w:t xml:space="preserve">This document is a step-by-step guide for Sales and CTS (Customer Technical Support) teams to validate this payment scenario in the Mastercard Gateway MTF (Merchant Test Facility) environment.</w:t>
      </w:r>
    </w:p>
    <w:p>
      <w:pPr>
        <w:spacing w:after="120"/>
      </w:pPr>
      <w:r>
        <w:rPr>
          <w:color w:val="000000"/>
          <w:sz w:val="22"/>
        </w:rPr>
        <w:t xml:space="preserve">This flow demonstrates a Click to Pay (secure remote commerce) checkout built on a Mastercard Gateway Hosted Session. The demo is set in TechGear, a sample hardware store: the shopper fills a cart, identifies with their email at checkout, verifies with a one-time code and pays with a card saved in their Click to Pay wallet — all inside the TechGear checkout. A Developer view traces the gateway API calls behind the transaction.</w:t>
      </w:r>
    </w:p>
    <w:p>
      <w:pPr>
        <w:spacing w:before="200" w:after="40"/>
      </w:pPr>
      <w:r>
        <w:rPr>
          <w:b/>
          <w:sz w:val="22"/>
        </w:rPr>
        <w:t>Configuration</w:t>
      </w:r>
    </w:p>
    <w:p>
      <w:pPr>
        <w:spacing w:before="200" w:after="40"/>
      </w:pPr>
      <w:r>
        <w:rPr>
          <w:b/>
          <w:sz w:val="22"/>
        </w:rPr>
        <w:t>Step 1: Point the demo at your gateway MID</w:t>
      </w:r>
    </w:p>
    <w:p>
      <w:pPr>
        <w:spacing w:after="120"/>
      </w:pPr>
      <w:r>
        <w:rPr>
          <w:color w:val="000000"/>
          <w:sz w:val="22"/>
        </w:rPr>
        <w:t xml:space="preserve">Open Store Settings — from the person icon in the header, the gear button, or Gateway settings in the Demo strip — and provide the Merchant ID, API username/password, API Base URL and API Version, then select Save Configuration. The Current Status panel shows which merchant and gateway are active.</w:t>
      </w:r>
    </w:p>
    <w:p>
      <w:pPr>
        <w:spacing w:before="80" w:after="160"/>
      </w:pPr>
      <w:r>
        <w:rPr>
          <w:b/>
          <w:color w:val="C00000"/>
          <w:sz w:val="22"/>
        </w:rPr>
        <w:t xml:space="preserve">Note: </w:t>
      </w:r>
      <w:r>
        <w:rPr>
          <w:color w:val="C00000"/>
          <w:sz w:val="22"/>
        </w:rPr>
        <w:t xml:space="preserve">API credentials are stored locally in your browser and sent to the demo backend to call the gateway. Use integration/test credentials only.</w:t>
      </w:r>
    </w:p>
    <w:p>
      <w:pPr>
        <w:spacing w:before="80"/>
        <w:jc w:val="center"/>
      </w:pPr>
      <w:r>
        <w:drawing>
          <wp:inline xmlns:a="http://schemas.openxmlformats.org/drawingml/2006/main" xmlns:pic="http://schemas.openxmlformats.org/drawingml/2006/picture">
            <wp:extent cx="6400800" cy="4112514"/>
            <wp:docPr id="1" name="Picture 1"/>
            <wp:cNvGraphicFramePr>
              <a:graphicFrameLocks noChangeAspect="1"/>
            </wp:cNvGraphicFramePr>
            <a:graphic>
              <a:graphicData uri="http://schemas.openxmlformats.org/drawingml/2006/picture">
                <pic:pic>
                  <pic:nvPicPr>
                    <pic:cNvPr id="0" name="image1.png"/>
                    <pic:cNvPicPr/>
                  </pic:nvPicPr>
                  <pic:blipFill>
                    <a:blip r:embed="rIdImg1"/>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Store Settings — gateway credentials and current status.</w:t>
      </w:r>
    </w:p>
    <w:p>
      <w:pPr>
        <w:spacing w:before="200" w:after="40"/>
      </w:pPr>
      <w:r>
        <w:rPr>
          <w:b/>
          <w:sz w:val="22"/>
        </w:rPr>
        <w:t>Step-by-Step Flow</w:t>
      </w:r>
    </w:p>
    <w:p>
      <w:pPr>
        <w:spacing w:before="200" w:after="40"/>
      </w:pPr>
      <w:r>
        <w:rPr>
          <w:b/>
          <w:sz w:val="22"/>
        </w:rPr>
        <w:t>Step 2: Browse the store and fill the cart</w:t>
      </w:r>
    </w:p>
    <w:p>
      <w:pPr>
        <w:spacing w:after="120"/>
      </w:pPr>
      <w:r>
        <w:rPr>
          <w:color w:val="000000"/>
          <w:sz w:val="22"/>
        </w:rPr>
        <w:t xml:space="preserve">From the home page, open a product and select Add to Cart, then open the cart (top right). The total shown is the amount that will be charged. Select Checkout with Click to Pay.</w:t>
      </w:r>
    </w:p>
    <w:p>
      <w:pPr>
        <w:spacing w:before="80"/>
        <w:jc w:val="center"/>
      </w:pPr>
      <w:r>
        <w:drawing>
          <wp:inline xmlns:a="http://schemas.openxmlformats.org/drawingml/2006/main" xmlns:pic="http://schemas.openxmlformats.org/drawingml/2006/picture">
            <wp:extent cx="6400800" cy="4112514"/>
            <wp:docPr id="2" name="Picture 2"/>
            <wp:cNvGraphicFramePr>
              <a:graphicFrameLocks noChangeAspect="1"/>
            </wp:cNvGraphicFramePr>
            <a:graphic>
              <a:graphicData uri="http://schemas.openxmlformats.org/drawingml/2006/picture">
                <pic:pic>
                  <pic:nvPicPr>
                    <pic:cNvPr id="0" name="image2.png"/>
                    <pic:cNvPicPr/>
                  </pic:nvPicPr>
                  <pic:blipFill>
                    <a:blip r:embed="rIdImg2"/>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home page — the Demo strip lists the steps.</w:t>
      </w:r>
    </w:p>
    <w:p>
      <w:pPr>
        <w:spacing w:before="80"/>
        <w:jc w:val="center"/>
      </w:pPr>
      <w:r>
        <w:drawing>
          <wp:inline xmlns:a="http://schemas.openxmlformats.org/drawingml/2006/main" xmlns:pic="http://schemas.openxmlformats.org/drawingml/2006/picture">
            <wp:extent cx="6400800" cy="4112514"/>
            <wp:docPr id="3" name="Picture 3"/>
            <wp:cNvGraphicFramePr>
              <a:graphicFrameLocks noChangeAspect="1"/>
            </wp:cNvGraphicFramePr>
            <a:graphic>
              <a:graphicData uri="http://schemas.openxmlformats.org/drawingml/2006/picture">
                <pic:pic>
                  <pic:nvPicPr>
                    <pic:cNvPr id="0" name="image3.png"/>
                    <pic:cNvPicPr/>
                  </pic:nvPicPr>
                  <pic:blipFill>
                    <a:blip r:embed="rIdImg3"/>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Cart with two items ($398); select Checkout with Click to Pay.</w:t>
      </w:r>
    </w:p>
    <w:p>
      <w:pPr>
        <w:spacing w:before="200" w:after="40"/>
      </w:pPr>
      <w:r>
        <w:rPr>
          <w:b/>
          <w:sz w:val="22"/>
        </w:rPr>
        <w:t>Step 3: Enter your email</w:t>
      </w:r>
    </w:p>
    <w:p>
      <w:pPr>
        <w:spacing w:after="120"/>
      </w:pPr>
      <w:r>
        <w:rPr>
          <w:color w:val="000000"/>
          <w:sz w:val="22"/>
        </w:rPr>
        <w:t xml:space="preserve">The TechGear checkout has two steps: 01 Contact and 02 Payment. Enter the email address registered with Click to Pay and select Continue with Click to Pay (or choose Use a card saved on this device / Add a new card).</w:t>
      </w:r>
    </w:p>
    <w:p>
      <w:pPr>
        <w:spacing w:before="80"/>
        <w:jc w:val="center"/>
      </w:pPr>
      <w:r>
        <w:drawing>
          <wp:inline xmlns:a="http://schemas.openxmlformats.org/drawingml/2006/main" xmlns:pic="http://schemas.openxmlformats.org/drawingml/2006/picture">
            <wp:extent cx="6400800" cy="4112514"/>
            <wp:docPr id="4" name="Picture 4"/>
            <wp:cNvGraphicFramePr>
              <a:graphicFrameLocks noChangeAspect="1"/>
            </wp:cNvGraphicFramePr>
            <a:graphic>
              <a:graphicData uri="http://schemas.openxmlformats.org/drawingml/2006/picture">
                <pic:pic>
                  <pic:nvPicPr>
                    <pic:cNvPr id="0" name="image4.png"/>
                    <pic:cNvPicPr/>
                  </pic:nvPicPr>
                  <pic:blipFill>
                    <a:blip r:embed="rIdImg4"/>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Checkout — email entered; select Continue with Click to Pay.</w:t>
      </w:r>
    </w:p>
    <w:p>
      <w:pPr>
        <w:spacing w:before="200" w:after="40"/>
      </w:pPr>
      <w:r>
        <w:rPr>
          <w:b/>
          <w:sz w:val="22"/>
        </w:rPr>
        <w:t>Step 4: Look up cards and verify</w:t>
      </w:r>
    </w:p>
    <w:p>
      <w:pPr>
        <w:spacing w:after="120"/>
      </w:pPr>
      <w:r>
        <w:rPr>
          <w:color w:val="000000"/>
          <w:sz w:val="22"/>
        </w:rPr>
        <w:t xml:space="preserve">Click to Pay looks up the email and sends a one-time code to the registered mobile number. The verification appears inside the Payment step; enter the code and select Continue. If needed, select Checkout with existing card.</w:t>
      </w:r>
    </w:p>
    <w:p>
      <w:pPr>
        <w:spacing w:before="80"/>
        <w:jc w:val="center"/>
      </w:pPr>
      <w:r>
        <w:drawing>
          <wp:inline xmlns:a="http://schemas.openxmlformats.org/drawingml/2006/main" xmlns:pic="http://schemas.openxmlformats.org/drawingml/2006/picture">
            <wp:extent cx="6400800" cy="4112514"/>
            <wp:docPr id="5" name="Picture 5"/>
            <wp:cNvGraphicFramePr>
              <a:graphicFrameLocks noChangeAspect="1"/>
            </wp:cNvGraphicFramePr>
            <a:graphic>
              <a:graphicData uri="http://schemas.openxmlformats.org/drawingml/2006/picture">
                <pic:pic>
                  <pic:nvPicPr>
                    <pic:cNvPr id="0" name="image5.png"/>
                    <pic:cNvPicPr/>
                  </pic:nvPicPr>
                  <pic:blipFill>
                    <a:blip r:embed="rIdImg5"/>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Click to Pay ready in the Payment step.</w:t>
      </w:r>
    </w:p>
    <w:p>
      <w:pPr>
        <w:spacing w:before="80"/>
        <w:jc w:val="center"/>
      </w:pPr>
      <w:r>
        <w:drawing>
          <wp:inline xmlns:a="http://schemas.openxmlformats.org/drawingml/2006/main" xmlns:pic="http://schemas.openxmlformats.org/drawingml/2006/picture">
            <wp:extent cx="6400800" cy="4112514"/>
            <wp:docPr id="6" name="Picture 6"/>
            <wp:cNvGraphicFramePr>
              <a:graphicFrameLocks noChangeAspect="1"/>
            </wp:cNvGraphicFramePr>
            <a:graphic>
              <a:graphicData uri="http://schemas.openxmlformats.org/drawingml/2006/picture">
                <pic:pic>
                  <pic:nvPicPr>
                    <pic:cNvPr id="0" name="image6.png"/>
                    <pic:cNvPicPr/>
                  </pic:nvPicPr>
                  <pic:blipFill>
                    <a:blip r:embed="rIdImg6"/>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Click to Pay found the cards — enter the one-time code.</w:t>
      </w:r>
    </w:p>
    <w:p>
      <w:pPr>
        <w:spacing w:before="200" w:after="40"/>
      </w:pPr>
      <w:r>
        <w:rPr>
          <w:b/>
          <w:sz w:val="22"/>
        </w:rPr>
        <w:t>Step 5: Select a card and review</w:t>
      </w:r>
    </w:p>
    <w:p>
      <w:pPr>
        <w:spacing w:after="120"/>
      </w:pPr>
      <w:r>
        <w:rPr>
          <w:color w:val="000000"/>
          <w:sz w:val="22"/>
        </w:rPr>
        <w:t xml:space="preserve">Choose a card from the Click to Pay wallet, then review the payment (optionally “Remember me in this browser for faster checkouts”). These Click to Pay screens appear inside the TechGear Payment step.</w:t>
      </w:r>
    </w:p>
    <w:p>
      <w:pPr>
        <w:spacing w:before="80"/>
        <w:jc w:val="center"/>
      </w:pPr>
      <w:r>
        <w:drawing>
          <wp:inline xmlns:a="http://schemas.openxmlformats.org/drawingml/2006/main" xmlns:pic="http://schemas.openxmlformats.org/drawingml/2006/picture">
            <wp:extent cx="3840480" cy="3253740"/>
            <wp:docPr id="7" name="Picture 7"/>
            <wp:cNvGraphicFramePr>
              <a:graphicFrameLocks noChangeAspect="1"/>
            </wp:cNvGraphicFramePr>
            <a:graphic>
              <a:graphicData uri="http://schemas.openxmlformats.org/drawingml/2006/picture">
                <pic:pic>
                  <pic:nvPicPr>
                    <pic:cNvPr id="0" name="image7.png"/>
                    <pic:cNvPicPr/>
                  </pic:nvPicPr>
                  <pic:blipFill>
                    <a:blip r:embed="rIdImg7"/>
                    <a:stretch>
                      <a:fillRect/>
                    </a:stretch>
                  </pic:blipFill>
                  <pic:spPr>
                    <a:xfrm>
                      <a:off x="0" y="0"/>
                      <a:ext cx="3840480" cy="3253740"/>
                    </a:xfrm>
                    <a:prstGeom prst="rect"/>
                  </pic:spPr>
                </pic:pic>
              </a:graphicData>
            </a:graphic>
          </wp:inline>
        </w:drawing>
      </w:r>
    </w:p>
    <w:p>
      <w:pPr>
        <w:spacing w:after="200"/>
        <w:jc w:val="center"/>
      </w:pPr>
      <w:r>
        <w:rPr>
          <w:i/>
          <w:color w:val="595959"/>
          <w:sz w:val="18"/>
        </w:rPr>
        <w:t xml:space="preserve">Select a card from the Click to Pay wallet.</w:t>
      </w:r>
    </w:p>
    <w:p>
      <w:pPr>
        <w:spacing w:before="80"/>
        <w:jc w:val="center"/>
      </w:pPr>
      <w:r>
        <w:drawing>
          <wp:inline xmlns:a="http://schemas.openxmlformats.org/drawingml/2006/main" xmlns:pic="http://schemas.openxmlformats.org/drawingml/2006/picture">
            <wp:extent cx="3840480" cy="3787140"/>
            <wp:docPr id="8" name="Picture 8"/>
            <wp:cNvGraphicFramePr>
              <a:graphicFrameLocks noChangeAspect="1"/>
            </wp:cNvGraphicFramePr>
            <a:graphic>
              <a:graphicData uri="http://schemas.openxmlformats.org/drawingml/2006/picture">
                <pic:pic>
                  <pic:nvPicPr>
                    <pic:cNvPr id="0" name="image8.png"/>
                    <pic:cNvPicPr/>
                  </pic:nvPicPr>
                  <pic:blipFill>
                    <a:blip r:embed="rIdImg8"/>
                    <a:stretch>
                      <a:fillRect/>
                    </a:stretch>
                  </pic:blipFill>
                  <pic:spPr>
                    <a:xfrm>
                      <a:off x="0" y="0"/>
                      <a:ext cx="3840480" cy="3787140"/>
                    </a:xfrm>
                    <a:prstGeom prst="rect"/>
                  </pic:spPr>
                </pic:pic>
              </a:graphicData>
            </a:graphic>
          </wp:inline>
        </w:drawing>
      </w:r>
    </w:p>
    <w:p>
      <w:pPr>
        <w:spacing w:after="200"/>
        <w:jc w:val="center"/>
      </w:pPr>
      <w:r>
        <w:rPr>
          <w:i/>
          <w:color w:val="595959"/>
          <w:sz w:val="18"/>
        </w:rPr>
        <w:t xml:space="preserve">Review your payment (optionally remember this browser).</w:t>
      </w:r>
    </w:p>
    <w:p>
      <w:pPr>
        <w:spacing w:before="200" w:after="40"/>
      </w:pPr>
      <w:r>
        <w:rPr>
          <w:b/>
          <w:sz w:val="22"/>
        </w:rPr>
        <w:t>Step 6: Confirmation</w:t>
      </w:r>
    </w:p>
    <w:p>
      <w:pPr>
        <w:spacing w:after="120"/>
      </w:pPr>
      <w:r>
        <w:rPr>
          <w:color w:val="000000"/>
          <w:sz w:val="22"/>
        </w:rPr>
        <w:t xml:space="preserve">The TechGear receipt confirms the order with the order number, card brand, gateway result (e.g. APPROVED), items and total, and the cart is emptied.</w:t>
      </w:r>
    </w:p>
    <w:p>
      <w:pPr>
        <w:spacing w:before="80"/>
        <w:jc w:val="center"/>
      </w:pPr>
      <w:r>
        <w:drawing>
          <wp:inline xmlns:a="http://schemas.openxmlformats.org/drawingml/2006/main" xmlns:pic="http://schemas.openxmlformats.org/drawingml/2006/picture">
            <wp:extent cx="6400800" cy="4112514"/>
            <wp:docPr id="9" name="Picture 9"/>
            <wp:cNvGraphicFramePr>
              <a:graphicFrameLocks noChangeAspect="1"/>
            </wp:cNvGraphicFramePr>
            <a:graphic>
              <a:graphicData uri="http://schemas.openxmlformats.org/drawingml/2006/picture">
                <pic:pic>
                  <pic:nvPicPr>
                    <pic:cNvPr id="0" name="image9.png"/>
                    <pic:cNvPicPr/>
                  </pic:nvPicPr>
                  <pic:blipFill>
                    <a:blip r:embed="rIdImg9"/>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TechGear receipt — payment approved with Click to Pay.</w:t>
      </w:r>
    </w:p>
    <w:p>
      <w:pPr>
        <w:spacing w:before="200" w:after="40"/>
      </w:pPr>
      <w:r>
        <w:rPr>
          <w:b/>
          <w:sz w:val="22"/>
        </w:rPr>
        <w:t>Behind the scenes: Developer view</w:t>
      </w:r>
    </w:p>
    <w:p>
      <w:pPr>
        <w:spacing w:after="120"/>
      </w:pPr>
      <w:r>
        <w:rPr>
          <w:color w:val="000000"/>
          <w:sz w:val="22"/>
        </w:rPr>
        <w:t xml:space="preserve">The Developer view tab on the right edge of the checkout and receipt pages opens a drawer with the amount, gateway, order and session IDs. Network calls traces the sequence: Create Session → Update Session (attach amount + order id) → Payment Options Inquiry → Link Wallet to Session → Charge the Card (PAY). Flow diagram shows the whole sequence.</w:t>
      </w:r>
    </w:p>
    <w:p>
      <w:pPr>
        <w:spacing w:before="80" w:after="160"/>
      </w:pPr>
      <w:r>
        <w:rPr>
          <w:b/>
          <w:color w:val="C00000"/>
          <w:sz w:val="22"/>
        </w:rPr>
        <w:t xml:space="preserve">Note: </w:t>
      </w:r>
      <w:r>
        <w:rPr>
          <w:color w:val="C00000"/>
          <w:sz w:val="22"/>
        </w:rPr>
        <w:t xml:space="preserve">The Developer view is a useful teaching aid — it shows the exact gateway API sequence behind a Hosted Session Click to Pay transaction.</w:t>
      </w:r>
    </w:p>
    <w:p>
      <w:pPr>
        <w:spacing w:before="80"/>
        <w:jc w:val="center"/>
      </w:pPr>
      <w:r>
        <w:drawing>
          <wp:inline xmlns:a="http://schemas.openxmlformats.org/drawingml/2006/main" xmlns:pic="http://schemas.openxmlformats.org/drawingml/2006/picture">
            <wp:extent cx="6400800" cy="4112514"/>
            <wp:docPr id="10" name="Picture 10"/>
            <wp:cNvGraphicFramePr>
              <a:graphicFrameLocks noChangeAspect="1"/>
            </wp:cNvGraphicFramePr>
            <a:graphic>
              <a:graphicData uri="http://schemas.openxmlformats.org/drawingml/2006/picture">
                <pic:pic>
                  <pic:nvPicPr>
                    <pic:cNvPr id="0" name="image10.png"/>
                    <pic:cNvPicPr/>
                  </pic:nvPicPr>
                  <pic:blipFill>
                    <a:blip r:embed="rIdImg10"/>
                    <a:stretch>
                      <a:fillRect/>
                    </a:stretch>
                  </pic:blipFill>
                  <pic:spPr>
                    <a:xfrm>
                      <a:off x="0" y="0"/>
                      <a:ext cx="6400800" cy="4112514"/>
                    </a:xfrm>
                    <a:prstGeom prst="rect"/>
                  </pic:spPr>
                </pic:pic>
              </a:graphicData>
            </a:graphic>
          </wp:inline>
        </w:drawing>
      </w:r>
    </w:p>
    <w:p>
      <w:pPr>
        <w:spacing w:after="200"/>
        <w:jc w:val="center"/>
      </w:pPr>
      <w:r>
        <w:rPr>
          <w:i/>
          <w:color w:val="595959"/>
          <w:sz w:val="18"/>
        </w:rPr>
        <w:t xml:space="preserve">Developer view — the gateway calls behind Click to Pay.</w:t>
      </w:r>
    </w:p>
    <w:p>
      <w:pPr>
        <w:spacing w:before="200" w:after="40"/>
      </w:pPr>
      <w:r>
        <w:rPr>
          <w:b/>
          <w:sz w:val="22"/>
        </w:rPr>
        <w:t>Questions &amp; Feedback</w:t>
      </w:r>
    </w:p>
    <w:p>
      <w:r>
        <w:rPr>
          <w:b/>
          <w:sz w:val="22"/>
        </w:rPr>
        <w:t>For any queries or improvements, reach out to Gaurav.joshi@mastercard.com</w:t>
      </w:r>
    </w:p>
    <w:sectPr w:rsidR="00FC693F" w:rsidRPr="0006063C" w:rsidSect="00034616">
      <w:footerReference w:type="default" r:id="rId9"/>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For any queries or improvements, reach out to Gaurav.joshi@mastercard.com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