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EDA" w:rsidRPr="00D63EDA" w:rsidRDefault="00D63EDA" w:rsidP="00D63EDA">
      <w:pPr>
        <w:numPr>
          <w:ilvl w:val="0"/>
          <w:numId w:val="1"/>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Provide identifiers in your program.</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Use capital letters so it is easier to read. Such as </w:t>
      </w:r>
      <w:proofErr w:type="spellStart"/>
      <w:r w:rsidRPr="00D63EDA">
        <w:rPr>
          <w:rFonts w:ascii="Arial" w:eastAsia="Times New Roman" w:hAnsi="Arial" w:cs="Arial"/>
          <w:color w:val="000000"/>
        </w:rPr>
        <w:t>FirstName</w:t>
      </w:r>
      <w:proofErr w:type="spellEnd"/>
      <w:r w:rsidRPr="00D63EDA">
        <w:rPr>
          <w:rFonts w:ascii="Arial" w:eastAsia="Times New Roman" w:hAnsi="Arial" w:cs="Arial"/>
          <w:color w:val="000000"/>
        </w:rPr>
        <w:t xml:space="preserve"> than </w:t>
      </w:r>
      <w:proofErr w:type="spellStart"/>
      <w:r w:rsidRPr="00D63EDA">
        <w:rPr>
          <w:rFonts w:ascii="Arial" w:eastAsia="Times New Roman" w:hAnsi="Arial" w:cs="Arial"/>
          <w:color w:val="000000"/>
        </w:rPr>
        <w:t>firstname</w:t>
      </w:r>
      <w:proofErr w:type="spellEnd"/>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Also use underscore for the name. For example: </w:t>
      </w:r>
      <w:proofErr w:type="spellStart"/>
      <w:r w:rsidRPr="00D63EDA">
        <w:rPr>
          <w:rFonts w:ascii="Arial" w:eastAsia="Times New Roman" w:hAnsi="Arial" w:cs="Arial"/>
          <w:color w:val="000000"/>
        </w:rPr>
        <w:t>first_name</w:t>
      </w:r>
      <w:proofErr w:type="spellEnd"/>
      <w:r w:rsidRPr="00D63EDA">
        <w:rPr>
          <w:rFonts w:ascii="Arial" w:eastAsia="Times New Roman" w:hAnsi="Arial" w:cs="Arial"/>
          <w:color w:val="000000"/>
        </w:rPr>
        <w:t xml:space="preserve"> since it is just as readable.</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You must write an import statement such as </w:t>
      </w:r>
      <w:r w:rsidRPr="00D63EDA">
        <w:rPr>
          <w:rFonts w:ascii="Arial" w:eastAsia="Times New Roman" w:hAnsi="Arial" w:cs="Arial"/>
          <w:b/>
          <w:bCs/>
          <w:color w:val="000000"/>
        </w:rPr>
        <w:t xml:space="preserve">import </w:t>
      </w:r>
      <w:proofErr w:type="spellStart"/>
      <w:r w:rsidRPr="00D63EDA">
        <w:rPr>
          <w:rFonts w:ascii="Arial" w:eastAsia="Times New Roman" w:hAnsi="Arial" w:cs="Arial"/>
          <w:b/>
          <w:bCs/>
          <w:color w:val="000000"/>
        </w:rPr>
        <w:t>packageName</w:t>
      </w:r>
      <w:proofErr w:type="spellEnd"/>
      <w:r w:rsidRPr="00D63EDA">
        <w:rPr>
          <w:rFonts w:ascii="Arial" w:eastAsia="Times New Roman" w:hAnsi="Arial" w:cs="Arial"/>
          <w:b/>
          <w:bCs/>
          <w:color w:val="000000"/>
        </w:rPr>
        <w:t>;</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Follow it by adding </w:t>
      </w:r>
      <w:r w:rsidRPr="00D63EDA">
        <w:rPr>
          <w:rFonts w:ascii="Arial" w:eastAsia="Times New Roman" w:hAnsi="Arial" w:cs="Arial"/>
          <w:b/>
          <w:bCs/>
          <w:color w:val="000000"/>
        </w:rPr>
        <w:t>.</w:t>
      </w:r>
      <w:proofErr w:type="spellStart"/>
      <w:r w:rsidRPr="00D63EDA">
        <w:rPr>
          <w:rFonts w:ascii="Arial" w:eastAsia="Times New Roman" w:hAnsi="Arial" w:cs="Arial"/>
          <w:b/>
          <w:bCs/>
          <w:color w:val="000000"/>
        </w:rPr>
        <w:t>ClassName</w:t>
      </w:r>
      <w:proofErr w:type="spellEnd"/>
      <w:r w:rsidRPr="00D63EDA">
        <w:rPr>
          <w:rFonts w:ascii="Arial" w:eastAsia="Times New Roman" w:hAnsi="Arial" w:cs="Arial"/>
          <w:b/>
          <w:bCs/>
          <w:color w:val="000000"/>
        </w:rPr>
        <w:t xml:space="preserve"> </w:t>
      </w:r>
      <w:r w:rsidRPr="00D63EDA">
        <w:rPr>
          <w:rFonts w:ascii="Arial" w:eastAsia="Times New Roman" w:hAnsi="Arial" w:cs="Arial"/>
          <w:color w:val="000000"/>
        </w:rPr>
        <w:t>(it tells Java to import class into package)</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In the end, you should get import </w:t>
      </w:r>
      <w:proofErr w:type="spellStart"/>
      <w:r w:rsidRPr="00D63EDA">
        <w:rPr>
          <w:rFonts w:ascii="Arial" w:eastAsia="Times New Roman" w:hAnsi="Arial" w:cs="Arial"/>
          <w:b/>
          <w:bCs/>
          <w:color w:val="000000"/>
        </w:rPr>
        <w:t>packageName.subPackageName.ClassName</w:t>
      </w:r>
      <w:proofErr w:type="spellEnd"/>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Scanner is one of the numbers in classes. </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To import the Scanner class, add import </w:t>
      </w:r>
      <w:proofErr w:type="spellStart"/>
      <w:r w:rsidRPr="00D63EDA">
        <w:rPr>
          <w:rFonts w:ascii="Arial" w:eastAsia="Times New Roman" w:hAnsi="Arial" w:cs="Arial"/>
          <w:b/>
          <w:bCs/>
          <w:color w:val="000000"/>
        </w:rPr>
        <w:t>java.util.Scanner</w:t>
      </w:r>
      <w:proofErr w:type="spellEnd"/>
      <w:r w:rsidRPr="00D63EDA">
        <w:rPr>
          <w:rFonts w:ascii="Arial" w:eastAsia="Times New Roman" w:hAnsi="Arial" w:cs="Arial"/>
          <w:color w:val="000000"/>
        </w:rPr>
        <w:t xml:space="preserve"> to the top of your program. </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In order to use the scanner object, you have to prompt the user </w:t>
      </w:r>
      <w:proofErr w:type="spellStart"/>
      <w:r w:rsidRPr="00D63EDA">
        <w:rPr>
          <w:rFonts w:ascii="Arial" w:eastAsia="Times New Roman" w:hAnsi="Arial" w:cs="Arial"/>
          <w:color w:val="000000"/>
        </w:rPr>
        <w:t>ofr</w:t>
      </w:r>
      <w:proofErr w:type="spellEnd"/>
      <w:r w:rsidRPr="00D63EDA">
        <w:rPr>
          <w:rFonts w:ascii="Arial" w:eastAsia="Times New Roman" w:hAnsi="Arial" w:cs="Arial"/>
          <w:color w:val="000000"/>
        </w:rPr>
        <w:t xml:space="preserve"> input. Such as: </w:t>
      </w:r>
      <w:proofErr w:type="spellStart"/>
      <w:r w:rsidRPr="00D63EDA">
        <w:rPr>
          <w:rFonts w:ascii="Arial" w:eastAsia="Times New Roman" w:hAnsi="Arial" w:cs="Arial"/>
          <w:b/>
          <w:bCs/>
          <w:color w:val="000000"/>
        </w:rPr>
        <w:t>System.out.println</w:t>
      </w:r>
      <w:proofErr w:type="spellEnd"/>
      <w:r w:rsidRPr="00D63EDA">
        <w:rPr>
          <w:rFonts w:ascii="Arial" w:eastAsia="Times New Roman" w:hAnsi="Arial" w:cs="Arial"/>
          <w:b/>
          <w:bCs/>
          <w:color w:val="000000"/>
        </w:rPr>
        <w:t>(“[Prompt]”);</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Once you instantiate an object from the class, tell the object to take action by calling the object’s name, dot, and then the complete name of the method you want to use. So, it would be </w:t>
      </w:r>
      <w:proofErr w:type="spellStart"/>
      <w:r w:rsidRPr="00D63EDA">
        <w:rPr>
          <w:rFonts w:ascii="Arial" w:eastAsia="Times New Roman" w:hAnsi="Arial" w:cs="Arial"/>
          <w:b/>
          <w:bCs/>
          <w:color w:val="000000"/>
        </w:rPr>
        <w:t>object.method</w:t>
      </w:r>
      <w:proofErr w:type="spellEnd"/>
      <w:r w:rsidRPr="00D63EDA">
        <w:rPr>
          <w:rFonts w:ascii="Arial" w:eastAsia="Times New Roman" w:hAnsi="Arial" w:cs="Arial"/>
          <w:b/>
          <w:bCs/>
          <w:color w:val="000000"/>
        </w:rPr>
        <w:t>();</w:t>
      </w:r>
    </w:p>
    <w:p w:rsidR="00D63EDA" w:rsidRPr="00D63EDA" w:rsidRDefault="00D63EDA" w:rsidP="00D63EDA">
      <w:pPr>
        <w:numPr>
          <w:ilvl w:val="0"/>
          <w:numId w:val="2"/>
        </w:numPr>
        <w:spacing w:after="0" w:line="240" w:lineRule="auto"/>
        <w:textAlignment w:val="baseline"/>
        <w:rPr>
          <w:rFonts w:ascii="Arial" w:eastAsia="Times New Roman" w:hAnsi="Arial" w:cs="Arial"/>
          <w:b/>
          <w:bCs/>
          <w:color w:val="000000"/>
        </w:rPr>
      </w:pPr>
      <w:r w:rsidRPr="00D63EDA">
        <w:rPr>
          <w:rFonts w:ascii="Arial" w:eastAsia="Times New Roman" w:hAnsi="Arial" w:cs="Arial"/>
          <w:color w:val="000000"/>
        </w:rPr>
        <w:t xml:space="preserve">If you wanted your keyboard object to take an </w:t>
      </w:r>
      <w:proofErr w:type="spellStart"/>
      <w:r w:rsidRPr="00D63EDA">
        <w:rPr>
          <w:rFonts w:ascii="Arial" w:eastAsia="Times New Roman" w:hAnsi="Arial" w:cs="Arial"/>
          <w:color w:val="000000"/>
        </w:rPr>
        <w:t>int</w:t>
      </w:r>
      <w:proofErr w:type="spellEnd"/>
      <w:r w:rsidRPr="00D63EDA">
        <w:rPr>
          <w:rFonts w:ascii="Arial" w:eastAsia="Times New Roman" w:hAnsi="Arial" w:cs="Arial"/>
          <w:color w:val="000000"/>
        </w:rPr>
        <w:t xml:space="preserve"> value from our input, you have to type:</w:t>
      </w:r>
      <w:r w:rsidRPr="00D63EDA">
        <w:rPr>
          <w:rFonts w:ascii="Arial" w:eastAsia="Times New Roman" w:hAnsi="Arial" w:cs="Arial"/>
          <w:b/>
          <w:bCs/>
          <w:color w:val="000000"/>
        </w:rPr>
        <w:t xml:space="preserve"> </w:t>
      </w:r>
      <w:proofErr w:type="spellStart"/>
      <w:r w:rsidRPr="00D63EDA">
        <w:rPr>
          <w:rFonts w:ascii="Arial" w:eastAsia="Times New Roman" w:hAnsi="Arial" w:cs="Arial"/>
          <w:b/>
          <w:bCs/>
          <w:color w:val="000000"/>
        </w:rPr>
        <w:t>int</w:t>
      </w:r>
      <w:proofErr w:type="spellEnd"/>
      <w:r w:rsidRPr="00D63EDA">
        <w:rPr>
          <w:rFonts w:ascii="Arial" w:eastAsia="Times New Roman" w:hAnsi="Arial" w:cs="Arial"/>
          <w:b/>
          <w:bCs/>
          <w:color w:val="000000"/>
        </w:rPr>
        <w:t xml:space="preserve"> </w:t>
      </w:r>
      <w:proofErr w:type="spellStart"/>
      <w:r w:rsidRPr="00D63EDA">
        <w:rPr>
          <w:rFonts w:ascii="Arial" w:eastAsia="Times New Roman" w:hAnsi="Arial" w:cs="Arial"/>
          <w:b/>
          <w:bCs/>
          <w:color w:val="000000"/>
        </w:rPr>
        <w:t>num</w:t>
      </w:r>
      <w:proofErr w:type="spellEnd"/>
      <w:r w:rsidRPr="00D63EDA">
        <w:rPr>
          <w:rFonts w:ascii="Arial" w:eastAsia="Times New Roman" w:hAnsi="Arial" w:cs="Arial"/>
          <w:b/>
          <w:bCs/>
          <w:color w:val="000000"/>
        </w:rPr>
        <w:t xml:space="preserve"> = </w:t>
      </w:r>
      <w:proofErr w:type="spellStart"/>
      <w:r w:rsidRPr="00D63EDA">
        <w:rPr>
          <w:rFonts w:ascii="Arial" w:eastAsia="Times New Roman" w:hAnsi="Arial" w:cs="Arial"/>
          <w:b/>
          <w:bCs/>
          <w:color w:val="000000"/>
        </w:rPr>
        <w:t>keyboard.nextInt</w:t>
      </w:r>
      <w:proofErr w:type="spellEnd"/>
      <w:r w:rsidRPr="00D63EDA">
        <w:rPr>
          <w:rFonts w:ascii="Arial" w:eastAsia="Times New Roman" w:hAnsi="Arial" w:cs="Arial"/>
          <w:b/>
          <w:bCs/>
          <w:color w:val="000000"/>
        </w:rPr>
        <w:t xml:space="preserve"> (); </w:t>
      </w:r>
    </w:p>
    <w:p w:rsidR="00D63EDA" w:rsidRPr="00D63EDA" w:rsidRDefault="00D63EDA" w:rsidP="00D63E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07"/>
        <w:gridCol w:w="5747"/>
      </w:tblGrid>
      <w:tr w:rsidR="00D63EDA" w:rsidRPr="00D63EDA" w:rsidTr="00D63EDA">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r w:rsidRPr="00D63EDA">
              <w:rPr>
                <w:rFonts w:ascii="Arial" w:eastAsia="Times New Roman" w:hAnsi="Arial" w:cs="Arial"/>
                <w:color w:val="CCCCCC"/>
                <w:sz w:val="23"/>
                <w:szCs w:val="23"/>
                <w:shd w:val="clear" w:color="auto" w:fill="010101"/>
              </w:rPr>
              <w:t>Scanner Methods in the AP Subset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CFE2F3"/>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r w:rsidRPr="00D63EDA">
              <w:rPr>
                <w:rFonts w:ascii="Arial" w:eastAsia="Times New Roman" w:hAnsi="Arial" w:cs="Arial"/>
                <w:color w:val="000000"/>
                <w:sz w:val="19"/>
                <w:szCs w:val="19"/>
                <w:shd w:val="clear" w:color="auto" w:fill="CFE2F3"/>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r w:rsidRPr="00D63EDA">
              <w:rPr>
                <w:rFonts w:ascii="Arial" w:eastAsia="Times New Roman" w:hAnsi="Arial" w:cs="Arial"/>
                <w:color w:val="000000"/>
                <w:sz w:val="19"/>
                <w:szCs w:val="19"/>
                <w:shd w:val="clear" w:color="auto" w:fill="CFE2F3"/>
              </w:rPr>
              <w:t>Return Value</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nextInt</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 xml:space="preserve">returns the next </w:t>
            </w:r>
            <w:proofErr w:type="spellStart"/>
            <w:r w:rsidRPr="00D63EDA">
              <w:rPr>
                <w:rFonts w:ascii="Arial" w:eastAsia="Times New Roman" w:hAnsi="Arial" w:cs="Arial"/>
                <w:color w:val="000000"/>
                <w:sz w:val="24"/>
                <w:szCs w:val="24"/>
                <w:shd w:val="clear" w:color="auto" w:fill="FCE5CD"/>
              </w:rPr>
              <w:t>int</w:t>
            </w:r>
            <w:proofErr w:type="spellEnd"/>
            <w:r w:rsidRPr="00D63EDA">
              <w:rPr>
                <w:rFonts w:ascii="Arial" w:eastAsia="Times New Roman" w:hAnsi="Arial" w:cs="Arial"/>
                <w:color w:val="000000"/>
                <w:sz w:val="24"/>
                <w:szCs w:val="24"/>
                <w:shd w:val="clear" w:color="auto" w:fill="FCE5CD"/>
              </w:rPr>
              <w:t xml:space="preserve">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nextDouble</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double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nextFloat</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float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nextLong</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long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nextByte</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byte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nextShort</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short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r w:rsidRPr="00D63EDA">
              <w:rPr>
                <w:rFonts w:ascii="Courier New" w:eastAsia="Times New Roman" w:hAnsi="Courier New" w:cs="Courier New"/>
                <w:color w:val="000000"/>
                <w:sz w:val="28"/>
                <w:szCs w:val="28"/>
                <w:shd w:val="clear" w:color="auto" w:fill="FCE5CD"/>
              </w:rPr>
              <w:t>next()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one word string value in the input</w:t>
            </w:r>
          </w:p>
        </w:tc>
      </w:tr>
      <w:tr w:rsidR="00D63EDA" w:rsidRPr="00D63EDA" w:rsidTr="00D63EDA">
        <w:trPr>
          <w:trHeight w:val="615"/>
        </w:trPr>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240" w:lineRule="auto"/>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nextLine</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240" w:lineRule="auto"/>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multi-word String value in the input</w:t>
            </w:r>
          </w:p>
        </w:tc>
      </w:tr>
    </w:tbl>
    <w:p w:rsidR="00EE5A7B" w:rsidRDefault="00EE5A7B">
      <w:bookmarkStart w:id="0" w:name="_GoBack"/>
      <w:bookmarkEnd w:id="0"/>
    </w:p>
    <w:sectPr w:rsidR="00EE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15128"/>
    <w:multiLevelType w:val="multilevel"/>
    <w:tmpl w:val="7822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47F6C"/>
    <w:multiLevelType w:val="multilevel"/>
    <w:tmpl w:val="647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EDA"/>
    <w:rsid w:val="000A2638"/>
    <w:rsid w:val="00D63EDA"/>
    <w:rsid w:val="00EA0654"/>
    <w:rsid w:val="00EE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E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E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9379">
      <w:bodyDiv w:val="1"/>
      <w:marLeft w:val="0"/>
      <w:marRight w:val="0"/>
      <w:marTop w:val="0"/>
      <w:marBottom w:val="0"/>
      <w:divBdr>
        <w:top w:val="none" w:sz="0" w:space="0" w:color="auto"/>
        <w:left w:val="none" w:sz="0" w:space="0" w:color="auto"/>
        <w:bottom w:val="none" w:sz="0" w:space="0" w:color="auto"/>
        <w:right w:val="none" w:sz="0" w:space="0" w:color="auto"/>
      </w:divBdr>
      <w:divsChild>
        <w:div w:id="157982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2016-09-28T19:07:00Z</dcterms:created>
  <dcterms:modified xsi:type="dcterms:W3CDTF">2016-09-28T19:07:00Z</dcterms:modified>
</cp:coreProperties>
</file>